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F9" w:rsidRDefault="00930FF9">
      <w:pPr>
        <w:pStyle w:val="10"/>
        <w:keepNext/>
        <w:keepLines/>
        <w:pBdr>
          <w:bottom w:val="single" w:sz="4" w:space="0" w:color="auto"/>
        </w:pBdr>
      </w:pPr>
      <w:bookmarkStart w:id="0" w:name="bookmark0"/>
    </w:p>
    <w:p w:rsidR="00761B0C" w:rsidRDefault="00494341">
      <w:pPr>
        <w:pStyle w:val="10"/>
        <w:keepNext/>
        <w:keepLines/>
        <w:pBdr>
          <w:bottom w:val="single" w:sz="4" w:space="0" w:color="auto"/>
        </w:pBdr>
      </w:pPr>
      <w:r>
        <w:t>ПРИВАТНЕ АКЦІОНЕРНЕ ТОВАРИСТВО ”СВС-ДНІПРО”</w:t>
      </w:r>
      <w:bookmarkEnd w:id="0"/>
    </w:p>
    <w:p w:rsidR="00761B0C" w:rsidRDefault="00494341">
      <w:pPr>
        <w:pStyle w:val="20"/>
      </w:pPr>
      <w:r>
        <w:rPr>
          <w:i/>
          <w:iCs/>
          <w:sz w:val="24"/>
          <w:szCs w:val="24"/>
        </w:rPr>
        <w:t xml:space="preserve">« </w:t>
      </w:r>
      <w:r>
        <w:rPr>
          <w:i/>
          <w:iCs/>
          <w:sz w:val="24"/>
          <w:szCs w:val="24"/>
          <w:u w:val="single"/>
        </w:rPr>
        <w:t>0</w:t>
      </w:r>
      <w:r w:rsidR="00930FF9">
        <w:rPr>
          <w:i/>
          <w:iCs/>
          <w:sz w:val="24"/>
          <w:szCs w:val="24"/>
          <w:u w:val="single"/>
        </w:rPr>
        <w:t>1</w:t>
      </w:r>
      <w:r>
        <w:rPr>
          <w:i/>
          <w:iCs/>
          <w:sz w:val="24"/>
          <w:szCs w:val="24"/>
        </w:rPr>
        <w:t xml:space="preserve"> » </w:t>
      </w:r>
      <w:r w:rsidR="00930FF9">
        <w:rPr>
          <w:i/>
          <w:iCs/>
          <w:sz w:val="24"/>
          <w:szCs w:val="24"/>
          <w:u w:val="single"/>
        </w:rPr>
        <w:t>01</w:t>
      </w:r>
      <w:r>
        <w:t xml:space="preserve"> </w:t>
      </w:r>
      <w:r w:rsidR="00930FF9">
        <w:t xml:space="preserve"> </w:t>
      </w:r>
      <w:r>
        <w:t xml:space="preserve">2020 р. № </w:t>
      </w:r>
      <w:r w:rsidR="00930FF9">
        <w:t>б/н</w:t>
      </w:r>
    </w:p>
    <w:p w:rsidR="00761B0C" w:rsidRDefault="00494341">
      <w:pPr>
        <w:pStyle w:val="11"/>
        <w:spacing w:after="240"/>
        <w:jc w:val="center"/>
      </w:pPr>
      <w:r>
        <w:t>НАКАЗ</w:t>
      </w:r>
    </w:p>
    <w:p w:rsidR="00761B0C" w:rsidRDefault="00494341">
      <w:pPr>
        <w:pStyle w:val="11"/>
        <w:spacing w:after="380"/>
        <w:jc w:val="both"/>
      </w:pPr>
      <w:r>
        <w:t>про облікову політику відповідно до Міжнародних стандартів фінансової звітності ("МСФЗ") ПРИВАТНОГО АКЦІОНЕРНОГО ТОВАРИСТВА «СВС- ДНІПРО»</w:t>
      </w:r>
    </w:p>
    <w:p w:rsidR="00761B0C" w:rsidRDefault="00494341">
      <w:pPr>
        <w:pStyle w:val="11"/>
        <w:spacing w:after="320"/>
        <w:jc w:val="both"/>
      </w:pPr>
      <w:r>
        <w:t>Відповідно до Закону України «Про бухгалтерський облік та фінансову звітність в Україні» (зі змінами), Міжнародних стандартів фінансової звітності ("МСФЗ"), затверджених Радою з Міжнародних стандартів бухгалтерського обліку ("РМСБО"), а також тлумачень, випущених Комітетом із Тлумачень міжнародної фінансової звітності ("КТМФЗ"), Національних положень (стандартів) бухгалтерського обліку (П(С)БО), Положення про порядок бухгалтерського обліку окремих активів та операцій підприємств державного, комунального секторів економіки і господарських організацій, які володіють та/або користуються об’єктами державної, комунальної власності, затвердженого наказом Міністерства фінансів України від 19 грудня 2006 року №1213, та інших міжнародних та національних нормативних документів, з метою забезпечення єдиних (постійних) принципів, методів, процедур при відображенні господарських операцій в бухгалтерському обліку та розкриття інформації про них у фінансовій звітності,</w:t>
      </w:r>
    </w:p>
    <w:p w:rsidR="00761B0C" w:rsidRDefault="00494341">
      <w:pPr>
        <w:pStyle w:val="11"/>
        <w:spacing w:after="320"/>
        <w:ind w:firstLine="740"/>
        <w:jc w:val="both"/>
      </w:pPr>
      <w:r>
        <w:rPr>
          <w:b/>
          <w:bCs/>
        </w:rPr>
        <w:t>НАКАЗУЮ:</w:t>
      </w:r>
    </w:p>
    <w:p w:rsidR="00761B0C" w:rsidRDefault="00494341">
      <w:pPr>
        <w:pStyle w:val="11"/>
        <w:spacing w:after="240"/>
        <w:jc w:val="both"/>
      </w:pPr>
      <w:r>
        <w:t>Установити з 01 січня 2020 року облікову політики, складену відповідно до Міжнародних стандартів фінансової звітності ("МСФЗ"), затверджених Радою з Міжнародних стандартів бухгалтерського обліку ("РМСБО"), а також тлумачень, випущених Комітетом із Тлумачень міжнародної фінансової звітності ("КТМФЗ") і з врахуванням національних вимог щодо ведення бухгалтерського обліку.</w:t>
      </w:r>
    </w:p>
    <w:p w:rsidR="00761B0C" w:rsidRDefault="00494341">
      <w:pPr>
        <w:pStyle w:val="22"/>
        <w:keepNext/>
        <w:keepLines/>
        <w:numPr>
          <w:ilvl w:val="0"/>
          <w:numId w:val="1"/>
        </w:numPr>
        <w:tabs>
          <w:tab w:val="left" w:pos="755"/>
        </w:tabs>
        <w:spacing w:after="380"/>
        <w:ind w:left="740" w:hanging="340"/>
        <w:jc w:val="both"/>
      </w:pPr>
      <w:bookmarkStart w:id="1" w:name="bookmark2"/>
      <w:r>
        <w:t>Основна інформація про ПРИВАТНЕ АКЦІОНЕРНО ТОВАРИСТВО «СВС-ДНІПРО»</w:t>
      </w:r>
      <w:bookmarkEnd w:id="1"/>
    </w:p>
    <w:p w:rsidR="00761B0C" w:rsidRDefault="00494341">
      <w:pPr>
        <w:pStyle w:val="a5"/>
      </w:pPr>
      <w:r>
        <w:t>Коротка інформація з Єдиного державного реєстру юридичних осіб.</w:t>
      </w:r>
    </w:p>
    <w:tbl>
      <w:tblPr>
        <w:tblOverlap w:val="never"/>
        <w:tblW w:w="0" w:type="auto"/>
        <w:jc w:val="center"/>
        <w:tblLayout w:type="fixed"/>
        <w:tblCellMar>
          <w:left w:w="10" w:type="dxa"/>
          <w:right w:w="10" w:type="dxa"/>
        </w:tblCellMar>
        <w:tblLook w:val="04A0"/>
      </w:tblPr>
      <w:tblGrid>
        <w:gridCol w:w="4718"/>
        <w:gridCol w:w="5064"/>
        <w:gridCol w:w="47"/>
      </w:tblGrid>
      <w:tr w:rsidR="00761B0C">
        <w:trPr>
          <w:gridAfter w:val="1"/>
          <w:wAfter w:w="47" w:type="dxa"/>
          <w:trHeight w:hRule="exact" w:val="1032"/>
          <w:jc w:val="center"/>
        </w:trPr>
        <w:tc>
          <w:tcPr>
            <w:tcW w:w="4714" w:type="dxa"/>
            <w:tcBorders>
              <w:top w:val="single" w:sz="4" w:space="0" w:color="auto"/>
              <w:left w:val="single" w:sz="4" w:space="0" w:color="auto"/>
            </w:tcBorders>
            <w:shd w:val="clear" w:color="auto" w:fill="auto"/>
            <w:vAlign w:val="center"/>
          </w:tcPr>
          <w:p w:rsidR="00761B0C" w:rsidRDefault="00494341">
            <w:pPr>
              <w:pStyle w:val="a7"/>
              <w:spacing w:after="0"/>
            </w:pPr>
            <w:r>
              <w:t>Найменування юридичної особи, у тому числі скорочене (за наявності)</w:t>
            </w:r>
          </w:p>
        </w:tc>
        <w:tc>
          <w:tcPr>
            <w:tcW w:w="5064" w:type="dxa"/>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pPr>
            <w:r>
              <w:t>ПРИВАТНЕ АКЦІОНЕРНЕ</w:t>
            </w:r>
          </w:p>
          <w:p w:rsidR="00761B0C" w:rsidRDefault="00494341">
            <w:pPr>
              <w:pStyle w:val="a7"/>
              <w:spacing w:after="0"/>
            </w:pPr>
            <w:r>
              <w:t>ТОВАРИСТВО «СВС-ДНІПРО» (</w:t>
            </w:r>
            <w:proofErr w:type="spellStart"/>
            <w:r>
              <w:t>ПрАТ</w:t>
            </w:r>
            <w:proofErr w:type="spellEnd"/>
            <w:r>
              <w:t xml:space="preserve"> «СВС-ДНІПРО»)</w:t>
            </w:r>
          </w:p>
        </w:tc>
      </w:tr>
      <w:tr w:rsidR="00761B0C">
        <w:trPr>
          <w:gridAfter w:val="1"/>
          <w:wAfter w:w="47" w:type="dxa"/>
          <w:trHeight w:hRule="exact" w:val="523"/>
          <w:jc w:val="center"/>
        </w:trPr>
        <w:tc>
          <w:tcPr>
            <w:tcW w:w="4714" w:type="dxa"/>
            <w:tcBorders>
              <w:top w:val="single" w:sz="4" w:space="0" w:color="auto"/>
              <w:left w:val="single" w:sz="4" w:space="0" w:color="auto"/>
            </w:tcBorders>
            <w:shd w:val="clear" w:color="auto" w:fill="auto"/>
            <w:vAlign w:val="bottom"/>
          </w:tcPr>
          <w:p w:rsidR="00761B0C" w:rsidRDefault="00494341">
            <w:pPr>
              <w:pStyle w:val="a7"/>
              <w:spacing w:after="0"/>
            </w:pPr>
            <w:r>
              <w:t>Організаційно-правова форма</w:t>
            </w:r>
          </w:p>
        </w:tc>
        <w:tc>
          <w:tcPr>
            <w:tcW w:w="5064" w:type="dxa"/>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pPr>
            <w:r>
              <w:t>Приватне товариство</w:t>
            </w:r>
          </w:p>
        </w:tc>
      </w:tr>
      <w:tr w:rsidR="00761B0C">
        <w:trPr>
          <w:gridAfter w:val="1"/>
          <w:wAfter w:w="47" w:type="dxa"/>
          <w:trHeight w:hRule="exact" w:val="710"/>
          <w:jc w:val="center"/>
        </w:trPr>
        <w:tc>
          <w:tcPr>
            <w:tcW w:w="4714" w:type="dxa"/>
            <w:tcBorders>
              <w:top w:val="single" w:sz="4" w:space="0" w:color="auto"/>
              <w:left w:val="single" w:sz="4" w:space="0" w:color="auto"/>
              <w:bottom w:val="single" w:sz="4" w:space="0" w:color="auto"/>
            </w:tcBorders>
            <w:shd w:val="clear" w:color="auto" w:fill="auto"/>
            <w:vAlign w:val="center"/>
          </w:tcPr>
          <w:p w:rsidR="00761B0C" w:rsidRDefault="00494341">
            <w:pPr>
              <w:pStyle w:val="a7"/>
              <w:spacing w:after="0"/>
            </w:pPr>
            <w:r>
              <w:t>Назва юридичної особи</w:t>
            </w:r>
          </w:p>
        </w:tc>
        <w:tc>
          <w:tcPr>
            <w:tcW w:w="5064" w:type="dxa"/>
            <w:tcBorders>
              <w:top w:val="single" w:sz="4" w:space="0" w:color="auto"/>
              <w:left w:val="single" w:sz="4" w:space="0" w:color="auto"/>
              <w:bottom w:val="single" w:sz="4" w:space="0" w:color="auto"/>
              <w:right w:val="single" w:sz="4" w:space="0" w:color="auto"/>
            </w:tcBorders>
            <w:shd w:val="clear" w:color="auto" w:fill="auto"/>
            <w:vAlign w:val="bottom"/>
          </w:tcPr>
          <w:p w:rsidR="00761B0C" w:rsidRDefault="00494341">
            <w:pPr>
              <w:pStyle w:val="a7"/>
              <w:spacing w:after="0"/>
            </w:pPr>
            <w:r>
              <w:t>ПРИВАТНЕ АКЦІОНЕРНЕ ТОВАРИСТВО «СВС-ДНІПРО»</w:t>
            </w:r>
          </w:p>
        </w:tc>
      </w:tr>
      <w:tr w:rsidR="00761B0C">
        <w:trPr>
          <w:trHeight w:hRule="exact" w:val="710"/>
          <w:jc w:val="center"/>
        </w:trPr>
        <w:tc>
          <w:tcPr>
            <w:tcW w:w="4718" w:type="dxa"/>
            <w:tcBorders>
              <w:top w:val="single" w:sz="4" w:space="0" w:color="auto"/>
              <w:left w:val="single" w:sz="4" w:space="0" w:color="auto"/>
            </w:tcBorders>
            <w:shd w:val="clear" w:color="auto" w:fill="auto"/>
          </w:tcPr>
          <w:p w:rsidR="00761B0C" w:rsidRDefault="00494341">
            <w:pPr>
              <w:pStyle w:val="a7"/>
              <w:spacing w:after="0"/>
            </w:pPr>
            <w:r>
              <w:t>Ідентифікаційний код юридичної особи</w:t>
            </w:r>
          </w:p>
        </w:tc>
        <w:tc>
          <w:tcPr>
            <w:tcW w:w="5107" w:type="dxa"/>
            <w:gridSpan w:val="2"/>
            <w:tcBorders>
              <w:top w:val="single" w:sz="4" w:space="0" w:color="auto"/>
              <w:left w:val="single" w:sz="4" w:space="0" w:color="auto"/>
              <w:right w:val="single" w:sz="4" w:space="0" w:color="auto"/>
            </w:tcBorders>
            <w:shd w:val="clear" w:color="auto" w:fill="auto"/>
            <w:vAlign w:val="center"/>
          </w:tcPr>
          <w:p w:rsidR="00761B0C" w:rsidRDefault="00494341">
            <w:pPr>
              <w:pStyle w:val="a7"/>
              <w:spacing w:after="0"/>
            </w:pPr>
            <w:r>
              <w:t>001328010086</w:t>
            </w:r>
          </w:p>
        </w:tc>
      </w:tr>
      <w:tr w:rsidR="00761B0C">
        <w:trPr>
          <w:trHeight w:hRule="exact" w:val="523"/>
          <w:jc w:val="center"/>
        </w:trPr>
        <w:tc>
          <w:tcPr>
            <w:tcW w:w="4718" w:type="dxa"/>
            <w:tcBorders>
              <w:top w:val="single" w:sz="4" w:space="0" w:color="auto"/>
              <w:left w:val="single" w:sz="4" w:space="0" w:color="auto"/>
            </w:tcBorders>
            <w:shd w:val="clear" w:color="auto" w:fill="auto"/>
            <w:vAlign w:val="bottom"/>
          </w:tcPr>
          <w:p w:rsidR="00761B0C" w:rsidRDefault="00494341">
            <w:pPr>
              <w:pStyle w:val="a7"/>
              <w:spacing w:after="0"/>
            </w:pPr>
            <w:r>
              <w:t>Місцезнаходження юридичної особи</w:t>
            </w:r>
          </w:p>
        </w:tc>
        <w:tc>
          <w:tcPr>
            <w:tcW w:w="5107" w:type="dxa"/>
            <w:gridSpan w:val="2"/>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pPr>
            <w:r>
              <w:t>07301 м. Вишгород, вул. Шкільна, 4</w:t>
            </w:r>
          </w:p>
        </w:tc>
      </w:tr>
      <w:tr w:rsidR="00761B0C">
        <w:trPr>
          <w:trHeight w:hRule="exact" w:val="691"/>
          <w:jc w:val="center"/>
        </w:trPr>
        <w:tc>
          <w:tcPr>
            <w:tcW w:w="4718" w:type="dxa"/>
            <w:tcBorders>
              <w:top w:val="single" w:sz="4" w:space="0" w:color="auto"/>
              <w:left w:val="single" w:sz="4" w:space="0" w:color="auto"/>
            </w:tcBorders>
            <w:shd w:val="clear" w:color="auto" w:fill="auto"/>
            <w:vAlign w:val="bottom"/>
          </w:tcPr>
          <w:p w:rsidR="00761B0C" w:rsidRDefault="00494341">
            <w:pPr>
              <w:pStyle w:val="a7"/>
              <w:spacing w:after="0"/>
            </w:pPr>
            <w:r>
              <w:lastRenderedPageBreak/>
              <w:t>Розмір статутного (складеного) капіталу (пайового фонду)</w:t>
            </w:r>
          </w:p>
        </w:tc>
        <w:tc>
          <w:tcPr>
            <w:tcW w:w="5107" w:type="dxa"/>
            <w:gridSpan w:val="2"/>
            <w:tcBorders>
              <w:top w:val="single" w:sz="4" w:space="0" w:color="auto"/>
              <w:left w:val="single" w:sz="4" w:space="0" w:color="auto"/>
              <w:right w:val="single" w:sz="4" w:space="0" w:color="auto"/>
            </w:tcBorders>
            <w:shd w:val="clear" w:color="auto" w:fill="auto"/>
            <w:vAlign w:val="center"/>
          </w:tcPr>
          <w:p w:rsidR="00761B0C" w:rsidRDefault="00494341">
            <w:pPr>
              <w:pStyle w:val="a7"/>
              <w:spacing w:after="0"/>
            </w:pPr>
            <w:r>
              <w:t>770 600,00 грн.</w:t>
            </w:r>
          </w:p>
        </w:tc>
      </w:tr>
      <w:tr w:rsidR="00761B0C">
        <w:trPr>
          <w:trHeight w:hRule="exact" w:val="1978"/>
          <w:jc w:val="center"/>
        </w:trPr>
        <w:tc>
          <w:tcPr>
            <w:tcW w:w="4718" w:type="dxa"/>
            <w:tcBorders>
              <w:top w:val="single" w:sz="4" w:space="0" w:color="auto"/>
              <w:left w:val="single" w:sz="4" w:space="0" w:color="auto"/>
            </w:tcBorders>
            <w:shd w:val="clear" w:color="auto" w:fill="auto"/>
            <w:vAlign w:val="center"/>
          </w:tcPr>
          <w:p w:rsidR="00761B0C" w:rsidRDefault="00494341">
            <w:pPr>
              <w:pStyle w:val="a7"/>
              <w:spacing w:after="0"/>
            </w:pPr>
            <w:r>
              <w:t>Види діяльності</w:t>
            </w:r>
          </w:p>
        </w:tc>
        <w:tc>
          <w:tcPr>
            <w:tcW w:w="5107" w:type="dxa"/>
            <w:gridSpan w:val="2"/>
            <w:tcBorders>
              <w:top w:val="single" w:sz="4" w:space="0" w:color="auto"/>
              <w:left w:val="single" w:sz="4" w:space="0" w:color="auto"/>
              <w:right w:val="single" w:sz="4" w:space="0" w:color="auto"/>
            </w:tcBorders>
            <w:shd w:val="clear" w:color="auto" w:fill="auto"/>
          </w:tcPr>
          <w:p w:rsidR="00761B0C" w:rsidRDefault="00494341">
            <w:pPr>
              <w:pStyle w:val="a7"/>
              <w:spacing w:after="0"/>
            </w:pPr>
            <w:r>
              <w:t>Будівництво житлових і нежитлових будівель; Електромонтажні роботи; Діяльність у сфері інжинірингу, геології та геодезії, надання послуг технічного консультування в цих сферах.</w:t>
            </w:r>
          </w:p>
        </w:tc>
      </w:tr>
      <w:tr w:rsidR="00761B0C">
        <w:trPr>
          <w:trHeight w:hRule="exact" w:val="1656"/>
          <w:jc w:val="center"/>
        </w:trPr>
        <w:tc>
          <w:tcPr>
            <w:tcW w:w="4718" w:type="dxa"/>
            <w:tcBorders>
              <w:top w:val="single" w:sz="4" w:space="0" w:color="auto"/>
              <w:left w:val="single" w:sz="4" w:space="0" w:color="auto"/>
            </w:tcBorders>
            <w:shd w:val="clear" w:color="auto" w:fill="auto"/>
            <w:vAlign w:val="bottom"/>
          </w:tcPr>
          <w:p w:rsidR="00761B0C" w:rsidRDefault="00494341">
            <w:pPr>
              <w:pStyle w:val="a7"/>
              <w:spacing w:after="0"/>
            </w:pPr>
            <w:r>
              <w:t>Дата державної реєстрації, дата та номер запису в Єдиному державному реєстрі про проведення державної реєстрації юридичної особи, яка утворена в результаті перетворення</w:t>
            </w:r>
          </w:p>
        </w:tc>
        <w:tc>
          <w:tcPr>
            <w:tcW w:w="5107" w:type="dxa"/>
            <w:gridSpan w:val="2"/>
            <w:tcBorders>
              <w:top w:val="single" w:sz="4" w:space="0" w:color="auto"/>
              <w:left w:val="single" w:sz="4" w:space="0" w:color="auto"/>
              <w:right w:val="single" w:sz="4" w:space="0" w:color="auto"/>
            </w:tcBorders>
            <w:shd w:val="clear" w:color="auto" w:fill="auto"/>
            <w:vAlign w:val="center"/>
          </w:tcPr>
          <w:p w:rsidR="00761B0C" w:rsidRDefault="00494341">
            <w:pPr>
              <w:pStyle w:val="a7"/>
              <w:spacing w:after="0"/>
            </w:pPr>
            <w:r>
              <w:t>20.05.1996</w:t>
            </w:r>
          </w:p>
          <w:p w:rsidR="00761B0C" w:rsidRDefault="00494341">
            <w:pPr>
              <w:pStyle w:val="a7"/>
              <w:spacing w:after="0"/>
            </w:pPr>
            <w:r>
              <w:t>Вишгородська районна державна адміністрація Київської області 27.09.2005 р., № 1 334 120 0000 001014</w:t>
            </w:r>
          </w:p>
        </w:tc>
      </w:tr>
      <w:tr w:rsidR="00761B0C">
        <w:trPr>
          <w:trHeight w:hRule="exact" w:val="552"/>
          <w:jc w:val="center"/>
        </w:trPr>
        <w:tc>
          <w:tcPr>
            <w:tcW w:w="4718" w:type="dxa"/>
            <w:tcBorders>
              <w:top w:val="single" w:sz="4" w:space="0" w:color="auto"/>
              <w:left w:val="single" w:sz="4" w:space="0" w:color="auto"/>
              <w:bottom w:val="single" w:sz="4" w:space="0" w:color="auto"/>
            </w:tcBorders>
            <w:shd w:val="clear" w:color="auto" w:fill="auto"/>
            <w:vAlign w:val="bottom"/>
          </w:tcPr>
          <w:p w:rsidR="00761B0C" w:rsidRDefault="00494341">
            <w:pPr>
              <w:pStyle w:val="a7"/>
              <w:spacing w:after="0"/>
            </w:pPr>
            <w:r>
              <w:t>Інформація для здійснення зв'язку</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1B0C" w:rsidRPr="001265AE" w:rsidRDefault="001265AE" w:rsidP="001265AE">
            <w:pPr>
              <w:pStyle w:val="a7"/>
              <w:spacing w:after="0"/>
              <w:rPr>
                <w:lang w:val="en-US"/>
              </w:rPr>
            </w:pPr>
            <w:r>
              <w:t>044-545-71</w:t>
            </w:r>
            <w:r w:rsidR="00494341">
              <w:t xml:space="preserve">-24, </w:t>
            </w:r>
            <w:hyperlink r:id="rId7" w:history="1">
              <w:r w:rsidR="00394A3B" w:rsidRPr="007B48C2">
                <w:rPr>
                  <w:rStyle w:val="a8"/>
                  <w:lang w:val="en-US"/>
                </w:rPr>
                <w:t>mail@svsdnipro.com.ua</w:t>
              </w:r>
            </w:hyperlink>
            <w:r>
              <w:rPr>
                <w:lang w:val="en-US"/>
              </w:rPr>
              <w:t xml:space="preserve"> </w:t>
            </w:r>
          </w:p>
        </w:tc>
      </w:tr>
    </w:tbl>
    <w:p w:rsidR="00761B0C" w:rsidRDefault="00761B0C">
      <w:pPr>
        <w:spacing w:after="599" w:line="1" w:lineRule="exact"/>
      </w:pPr>
    </w:p>
    <w:p w:rsidR="00761B0C" w:rsidRDefault="00494341">
      <w:pPr>
        <w:pStyle w:val="22"/>
        <w:keepNext/>
        <w:keepLines/>
        <w:numPr>
          <w:ilvl w:val="0"/>
          <w:numId w:val="1"/>
        </w:numPr>
        <w:tabs>
          <w:tab w:val="left" w:pos="715"/>
        </w:tabs>
        <w:ind w:firstLine="360"/>
      </w:pPr>
      <w:bookmarkStart w:id="2" w:name="bookmark4"/>
      <w:r>
        <w:t>Основа складання фінансової звітності</w:t>
      </w:r>
      <w:bookmarkEnd w:id="2"/>
    </w:p>
    <w:p w:rsidR="00761B0C" w:rsidRDefault="00494341">
      <w:pPr>
        <w:pStyle w:val="11"/>
        <w:spacing w:after="320"/>
        <w:jc w:val="both"/>
      </w:pPr>
      <w:r>
        <w:t xml:space="preserve">Фінансова звітність Товариства складається відповідно до Міжнародних стандартів фінансової звітності ("МСФЗ"), затверджених Радою з Міжнародних стандартів бухгалтерського обліку ("РМСБО"), тлумачень, випущених Комітетом із Тлумачень міжнародної фінансової звітності ("КТМФЗ"), національних стандартів бухгалтерського обліку і з врахуванням вимог щодо обліку на підприємствах, які провадять діяльність в комунальній сфері. Відповідно до МСБО 8, </w:t>
      </w:r>
      <w:r>
        <w:rPr>
          <w:i/>
          <w:iCs/>
        </w:rPr>
        <w:t>облікові політики -</w:t>
      </w:r>
      <w:r>
        <w:t xml:space="preserve"> конкретні принципи, основи, домовленості, правила та практика, застосовані суб'єктом господарювання при складанні та поданні фінансової звітності.</w:t>
      </w:r>
    </w:p>
    <w:p w:rsidR="00761B0C" w:rsidRDefault="00494341">
      <w:pPr>
        <w:pStyle w:val="11"/>
        <w:spacing w:after="320"/>
        <w:jc w:val="both"/>
      </w:pPr>
      <w:r>
        <w:t>При виборі і застосуванні облікових політик Товариство керується відповідними стандартами, із врахуванням роз’яснень Міністерства фінансів України. Товариство самостійно розробляє облікову політику та забезпечує її застосування так, щоб інформація відображена у фінансових звітах, відповідала концепції, принципам, якісним характеристикам і іншим вимогам МСБО та МСФЗ.</w:t>
      </w:r>
    </w:p>
    <w:p w:rsidR="00761B0C" w:rsidRDefault="00494341">
      <w:pPr>
        <w:pStyle w:val="22"/>
        <w:keepNext/>
        <w:keepLines/>
        <w:numPr>
          <w:ilvl w:val="0"/>
          <w:numId w:val="1"/>
        </w:numPr>
        <w:tabs>
          <w:tab w:val="left" w:pos="715"/>
        </w:tabs>
        <w:ind w:firstLine="360"/>
      </w:pPr>
      <w:bookmarkStart w:id="3" w:name="bookmark6"/>
      <w:r>
        <w:t>Фінансова звітність</w:t>
      </w:r>
      <w:bookmarkEnd w:id="3"/>
    </w:p>
    <w:p w:rsidR="00761B0C" w:rsidRDefault="00494341">
      <w:pPr>
        <w:pStyle w:val="11"/>
        <w:spacing w:after="320"/>
        <w:jc w:val="both"/>
      </w:pPr>
      <w: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rsidR="00761B0C" w:rsidRDefault="00494341">
      <w:pPr>
        <w:pStyle w:val="11"/>
        <w:spacing w:after="320"/>
        <w:jc w:val="both"/>
      </w:pPr>
      <w:r>
        <w:t>Згідно МСФЗ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w:t>
      </w:r>
    </w:p>
    <w:p w:rsidR="00761B0C" w:rsidRDefault="00494341">
      <w:pPr>
        <w:pStyle w:val="11"/>
        <w:spacing w:after="320"/>
        <w:jc w:val="both"/>
      </w:pPr>
      <w: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rsidR="00761B0C" w:rsidRDefault="00494341">
      <w:pPr>
        <w:pStyle w:val="22"/>
        <w:keepNext/>
        <w:keepLines/>
        <w:numPr>
          <w:ilvl w:val="0"/>
          <w:numId w:val="1"/>
        </w:numPr>
        <w:tabs>
          <w:tab w:val="left" w:pos="715"/>
        </w:tabs>
        <w:ind w:firstLine="360"/>
        <w:jc w:val="both"/>
      </w:pPr>
      <w:bookmarkStart w:id="4" w:name="bookmark8"/>
      <w:r>
        <w:lastRenderedPageBreak/>
        <w:t>Валюта</w:t>
      </w:r>
      <w:bookmarkEnd w:id="4"/>
    </w:p>
    <w:p w:rsidR="00761B0C" w:rsidRDefault="00494341">
      <w:pPr>
        <w:pStyle w:val="11"/>
        <w:spacing w:after="0"/>
        <w:jc w:val="both"/>
      </w:pPr>
      <w:r>
        <w:t>Фінансова звітність подається у національній валюті України, українській гривні, з округленням усіх сум до найближчої тисячі.</w:t>
      </w:r>
    </w:p>
    <w:p w:rsidR="00761B0C" w:rsidRDefault="00494341">
      <w:pPr>
        <w:pStyle w:val="11"/>
        <w:spacing w:after="320"/>
        <w:jc w:val="both"/>
      </w:pPr>
      <w:r>
        <w:t>Монетарні активи і зобов'язання в іноземній валюті перераховуються у функціональну валюту за офіційним обмінним курсом Національного Банку України (НБУ) станом на кінець звітного періоду. Прибутки і збитки від курсових різниць, що виникають у результаті розрахунків за операціями і переоцінки монетарних активів та зобов'язань, визнаються у складі прибутку чи збитку. Товариство подає на нетто-основі прибутки та збитки, які виникають від прибутку та збитку від курсових різниць. Прибутки та збитки подаються окремо, якщо вони є суттєвими.</w:t>
      </w:r>
    </w:p>
    <w:p w:rsidR="00761B0C" w:rsidRDefault="00494341">
      <w:pPr>
        <w:pStyle w:val="11"/>
        <w:spacing w:after="320"/>
        <w:jc w:val="both"/>
      </w:pPr>
      <w:r>
        <w:t>Іноземна валюта може бути конвертована в українську гривню та гривня в іноземну валюту за курсом обміну, на який впливає Національний банк України. Точний курс обміну, за яким Товариство може обмінювати валюту, залежить від переговорів з її комерційними (обслуговуючими) банками та ситуативного балансу попиту та пропозиції на міжбанківському валютному ринку.</w:t>
      </w:r>
    </w:p>
    <w:p w:rsidR="00761B0C" w:rsidRDefault="00494341">
      <w:pPr>
        <w:pStyle w:val="22"/>
        <w:keepNext/>
        <w:keepLines/>
        <w:numPr>
          <w:ilvl w:val="0"/>
          <w:numId w:val="1"/>
        </w:numPr>
        <w:tabs>
          <w:tab w:val="left" w:pos="715"/>
        </w:tabs>
        <w:ind w:firstLine="360"/>
        <w:jc w:val="both"/>
      </w:pPr>
      <w:bookmarkStart w:id="5" w:name="bookmark10"/>
      <w:r>
        <w:t>Сегменти</w:t>
      </w:r>
      <w:bookmarkEnd w:id="5"/>
    </w:p>
    <w:p w:rsidR="00761B0C" w:rsidRDefault="00494341">
      <w:pPr>
        <w:pStyle w:val="11"/>
        <w:spacing w:after="320"/>
        <w:jc w:val="both"/>
      </w:pPr>
      <w:r>
        <w:t>Товариство визначило свою діяльність як єдиний звітний сегмент.</w:t>
      </w:r>
    </w:p>
    <w:p w:rsidR="00761B0C" w:rsidRDefault="00494341">
      <w:pPr>
        <w:pStyle w:val="11"/>
        <w:spacing w:after="320"/>
        <w:jc w:val="both"/>
      </w:pPr>
      <w:r>
        <w:t>Товариство визначає сегмент у відповідності до критеріїв, встановлених МСФЗ (</w:t>
      </w:r>
      <w:r w:rsidR="00394A3B">
        <w:rPr>
          <w:lang w:val="en-US"/>
        </w:rPr>
        <w:t>IFRS</w:t>
      </w:r>
      <w:r>
        <w:t>) 8 «Операційні сегменти», виходячи із способу регулярної перевірки діяльності товариства вищим органом оперативного управління з метою аналізу ефективності та розподілу ресурсів між підрозділами товариства.</w:t>
      </w:r>
    </w:p>
    <w:p w:rsidR="00761B0C" w:rsidRDefault="00494341">
      <w:pPr>
        <w:pStyle w:val="11"/>
        <w:spacing w:after="320"/>
        <w:jc w:val="both"/>
      </w:pPr>
      <w:r>
        <w:t>Спираючись на дані внутрішніх звітів та мету своєї діяльності керівництво визначило єдиний операційний сегмент, який складається з діяльності по виконанню робіт з будівництва.</w:t>
      </w:r>
    </w:p>
    <w:p w:rsidR="00761B0C" w:rsidRDefault="00494341">
      <w:pPr>
        <w:pStyle w:val="22"/>
        <w:keepNext/>
        <w:keepLines/>
        <w:numPr>
          <w:ilvl w:val="0"/>
          <w:numId w:val="1"/>
        </w:numPr>
        <w:tabs>
          <w:tab w:val="left" w:pos="715"/>
        </w:tabs>
        <w:ind w:firstLine="360"/>
        <w:jc w:val="both"/>
      </w:pPr>
      <w:bookmarkStart w:id="6" w:name="bookmark12"/>
      <w:r>
        <w:t>Суттєвість</w:t>
      </w:r>
      <w:bookmarkEnd w:id="6"/>
    </w:p>
    <w:p w:rsidR="00761B0C" w:rsidRDefault="00494341">
      <w:pPr>
        <w:pStyle w:val="11"/>
        <w:spacing w:after="320"/>
        <w:jc w:val="both"/>
      </w:pPr>
      <w:r>
        <w:t>Товариство визначило рівень суттєвість для складання звітності як 1 (один) відсоток від валюти балансу (Звіту про прибутки і збитки).</w:t>
      </w:r>
    </w:p>
    <w:p w:rsidR="00761B0C" w:rsidRDefault="00494341">
      <w:pPr>
        <w:pStyle w:val="22"/>
        <w:keepNext/>
        <w:keepLines/>
        <w:numPr>
          <w:ilvl w:val="0"/>
          <w:numId w:val="1"/>
        </w:numPr>
        <w:tabs>
          <w:tab w:val="left" w:pos="715"/>
        </w:tabs>
        <w:ind w:firstLine="360"/>
        <w:jc w:val="both"/>
      </w:pPr>
      <w:bookmarkStart w:id="7" w:name="bookmark14"/>
      <w:r>
        <w:t>Сезонність</w:t>
      </w:r>
      <w:bookmarkEnd w:id="7"/>
    </w:p>
    <w:p w:rsidR="00761B0C" w:rsidRDefault="00494341">
      <w:pPr>
        <w:pStyle w:val="11"/>
        <w:spacing w:after="320"/>
      </w:pPr>
      <w:r>
        <w:t>Діяльність товариства не підпадає під істотний вплив сезонних або циклічних чинників протягом звітного року.</w:t>
      </w:r>
    </w:p>
    <w:p w:rsidR="00761B0C" w:rsidRDefault="00494341">
      <w:pPr>
        <w:pStyle w:val="22"/>
        <w:keepNext/>
        <w:keepLines/>
        <w:numPr>
          <w:ilvl w:val="0"/>
          <w:numId w:val="1"/>
        </w:numPr>
        <w:tabs>
          <w:tab w:val="left" w:pos="715"/>
        </w:tabs>
        <w:ind w:firstLine="360"/>
        <w:jc w:val="both"/>
      </w:pPr>
      <w:bookmarkStart w:id="8" w:name="bookmark16"/>
      <w:r>
        <w:t>Організація бухгалтерського обліку Товариства</w:t>
      </w:r>
      <w:bookmarkEnd w:id="8"/>
    </w:p>
    <w:p w:rsidR="00761B0C" w:rsidRDefault="00494341">
      <w:pPr>
        <w:pStyle w:val="11"/>
        <w:spacing w:after="320"/>
        <w:jc w:val="both"/>
      </w:pPr>
      <w:r>
        <w:t>Ведення бухгалтерського обліку та складання фінансової звітності в товаристві забезпечується шляхом: створення бухгалтерської служби, очолюваної - головним бухгалтером.</w:t>
      </w:r>
    </w:p>
    <w:p w:rsidR="00761B0C" w:rsidRDefault="00494341">
      <w:pPr>
        <w:pStyle w:val="11"/>
        <w:spacing w:after="0"/>
        <w:jc w:val="both"/>
      </w:pPr>
      <w:r>
        <w:t>Відповідальними за ведення бухгалтерського обліку та складання фінансової звітності відповідно до МСФЗ, з наданням права підпису фінансових, банківських та інших первинних фінансових документів призначається - головний бухгалтер.</w:t>
      </w:r>
    </w:p>
    <w:p w:rsidR="00761B0C" w:rsidRDefault="00494341">
      <w:pPr>
        <w:pStyle w:val="11"/>
        <w:spacing w:after="0"/>
        <w:jc w:val="both"/>
      </w:pPr>
      <w:r>
        <w:t>Забороняється відображати в обліку господарські операції, якщо первинні документи щодо них підписані не уповноваженими на те особами.</w:t>
      </w:r>
    </w:p>
    <w:p w:rsidR="00761B0C" w:rsidRDefault="00494341">
      <w:pPr>
        <w:pStyle w:val="11"/>
        <w:spacing w:after="0"/>
        <w:jc w:val="both"/>
      </w:pPr>
      <w:r>
        <w:t>Для синтетичного обліку господарських операцій застосовуються:</w:t>
      </w:r>
    </w:p>
    <w:p w:rsidR="00761B0C" w:rsidRDefault="00494341">
      <w:pPr>
        <w:pStyle w:val="11"/>
        <w:numPr>
          <w:ilvl w:val="0"/>
          <w:numId w:val="2"/>
        </w:numPr>
        <w:tabs>
          <w:tab w:val="left" w:pos="1401"/>
        </w:tabs>
        <w:spacing w:after="0"/>
        <w:ind w:left="1440" w:hanging="380"/>
        <w:jc w:val="both"/>
      </w:pPr>
      <w:r>
        <w:t xml:space="preserve">План рахунків бухгалтерського обліку активів, капіталу, зобов’язань і </w:t>
      </w:r>
      <w:r>
        <w:lastRenderedPageBreak/>
        <w:t>господарських операцій підприємств і організацій, затверджений наказом Мінфіну України від 30.11.99 №291 (зі змінами), без застосуванням рахунків витрат класів 8 і 9.</w:t>
      </w:r>
    </w:p>
    <w:p w:rsidR="00761B0C" w:rsidRDefault="00494341">
      <w:pPr>
        <w:pStyle w:val="11"/>
        <w:numPr>
          <w:ilvl w:val="0"/>
          <w:numId w:val="2"/>
        </w:numPr>
        <w:tabs>
          <w:tab w:val="left" w:pos="1401"/>
        </w:tabs>
        <w:spacing w:after="320"/>
        <w:ind w:left="1440" w:hanging="380"/>
        <w:jc w:val="both"/>
      </w:pPr>
      <w:r>
        <w:t>Витрати підприємства відображаються з використанням рахунків класу 9 «Витрати діяльності» та з одночасним використанням рахунків класу 9.</w:t>
      </w:r>
    </w:p>
    <w:p w:rsidR="00761B0C" w:rsidRDefault="00494341">
      <w:pPr>
        <w:pStyle w:val="11"/>
        <w:spacing w:after="0"/>
        <w:jc w:val="both"/>
      </w:pPr>
      <w:r>
        <w:t>При формуванні зведеної облікової інформації застосовується форма ведення бухгалтерського обліку:</w:t>
      </w:r>
    </w:p>
    <w:p w:rsidR="00761B0C" w:rsidRDefault="00494341">
      <w:pPr>
        <w:pStyle w:val="11"/>
        <w:numPr>
          <w:ilvl w:val="0"/>
          <w:numId w:val="2"/>
        </w:numPr>
        <w:tabs>
          <w:tab w:val="left" w:pos="1401"/>
        </w:tabs>
        <w:spacing w:after="0"/>
        <w:ind w:left="1600" w:hanging="540"/>
        <w:jc w:val="both"/>
      </w:pPr>
      <w:r>
        <w:t>із застосуванням автоматизації ведення бухгалтерського обліку за допомогою бухгалтерської програми «1С:Бухгалтерія»;</w:t>
      </w:r>
    </w:p>
    <w:p w:rsidR="00761B0C" w:rsidRDefault="00494341">
      <w:pPr>
        <w:pStyle w:val="11"/>
        <w:numPr>
          <w:ilvl w:val="0"/>
          <w:numId w:val="2"/>
        </w:numPr>
        <w:tabs>
          <w:tab w:val="left" w:pos="1401"/>
        </w:tabs>
        <w:spacing w:after="0"/>
        <w:ind w:left="1600" w:hanging="540"/>
        <w:jc w:val="both"/>
      </w:pPr>
      <w:r>
        <w:t>збереження записів даних бухгалтерського обліку забезпечується на електронних носіях, а саме на сервері.</w:t>
      </w:r>
    </w:p>
    <w:p w:rsidR="00761B0C" w:rsidRDefault="00494341">
      <w:pPr>
        <w:pStyle w:val="11"/>
        <w:spacing w:after="0"/>
        <w:jc w:val="both"/>
      </w:pPr>
      <w:r>
        <w:t>Дані регістрів обліку майна підприємства, інших облікових регістрів відображати в Головній книзі підприємства, що є підставою для складання фінансової звітності відповідно до МСФЗ. Здійснювати обов’язкове щомісячне формування зведених облікових регістрів (відомостей, головної книги, оборотно-сальдових відомостей, журналів-ордерів).</w:t>
      </w:r>
    </w:p>
    <w:p w:rsidR="00761B0C" w:rsidRDefault="00494341">
      <w:pPr>
        <w:pStyle w:val="11"/>
        <w:spacing w:after="0"/>
        <w:ind w:firstLine="760"/>
        <w:jc w:val="both"/>
      </w:pPr>
      <w:r>
        <w:t>Відповідальною особою за формування та збереження цих документів у паперовому вигляді є: працівники відділу бухгалтерського обліку та фінансів згідно розподілу посадових обов’язків.</w:t>
      </w:r>
    </w:p>
    <w:p w:rsidR="00761B0C" w:rsidRDefault="00494341">
      <w:pPr>
        <w:pStyle w:val="11"/>
        <w:spacing w:after="320"/>
        <w:ind w:firstLine="760"/>
        <w:jc w:val="both"/>
      </w:pPr>
      <w:r>
        <w:t>У разі несвоєчасного складання первинних документів, недостовірного відображення в них даних чи оформлення з порушенням законодавчих та нормативних вимог, зазначені працівники притягуються до відповідальності згідно із законодавством України.</w:t>
      </w:r>
    </w:p>
    <w:p w:rsidR="00761B0C" w:rsidRDefault="00494341">
      <w:pPr>
        <w:pStyle w:val="11"/>
        <w:spacing w:after="0"/>
        <w:jc w:val="both"/>
      </w:pPr>
      <w:r>
        <w:t xml:space="preserve">Для забезпечення достовірності даних бухгалтерського обліку і фінансової звітності, перед складанням річної фінансової звітності, проводиться інвентаризація активів і зобов’язань підприємства відповідно до Положення про інвентаризацію активів та зобов'язань, затвердженого наказом Міністерства фінансів України від 02 вересня 2014 року № 879 (із змінами та доповненнями) щонайменше один раз на рік станом на </w:t>
      </w:r>
      <w:r w:rsidR="00FB4A75" w:rsidRPr="00FB4A75">
        <w:t>30</w:t>
      </w:r>
      <w:r>
        <w:t xml:space="preserve"> жовтня поточного року.</w:t>
      </w:r>
    </w:p>
    <w:p w:rsidR="00761B0C" w:rsidRDefault="00494341">
      <w:pPr>
        <w:pStyle w:val="11"/>
        <w:spacing w:after="320"/>
        <w:jc w:val="both"/>
      </w:pPr>
      <w:r>
        <w:t>Для здійснення інвентаризації і прийняття рішення за її результатами створити постійно діючу інвентаризаційну комісію у складі:</w:t>
      </w:r>
    </w:p>
    <w:p w:rsidR="00761B0C" w:rsidRDefault="00494341">
      <w:pPr>
        <w:pStyle w:val="11"/>
        <w:spacing w:after="320"/>
        <w:jc w:val="both"/>
      </w:pPr>
      <w:r>
        <w:t>Голова комісії: Директор</w:t>
      </w:r>
    </w:p>
    <w:p w:rsidR="00761B0C" w:rsidRDefault="00494341">
      <w:pPr>
        <w:pStyle w:val="11"/>
        <w:spacing w:after="0"/>
        <w:jc w:val="both"/>
      </w:pPr>
      <w:r>
        <w:t>Члени комісії: заступник директора</w:t>
      </w:r>
    </w:p>
    <w:p w:rsidR="00761B0C" w:rsidRDefault="00494341">
      <w:pPr>
        <w:pStyle w:val="11"/>
        <w:spacing w:after="0"/>
        <w:ind w:left="1860"/>
      </w:pPr>
      <w:r>
        <w:t>інспектор з кадрів</w:t>
      </w:r>
    </w:p>
    <w:p w:rsidR="00761B0C" w:rsidRDefault="00494341">
      <w:pPr>
        <w:pStyle w:val="11"/>
        <w:spacing w:after="640"/>
        <w:ind w:left="1860"/>
      </w:pPr>
      <w:r>
        <w:t>провідний інженер відділу закупівель представник аудитора (за необхідності)</w:t>
      </w:r>
    </w:p>
    <w:p w:rsidR="00761B0C" w:rsidRDefault="00494341">
      <w:pPr>
        <w:pStyle w:val="11"/>
        <w:spacing w:after="320"/>
        <w:jc w:val="both"/>
      </w:pPr>
      <w:r>
        <w:t xml:space="preserve">Правила і порядок організації документообігу, графік документообігу, технологія обробки первинних облікових документів, регулюються Графіком документообігу, у тому числі: порядок створення первинних документів, порядок перевірки первинних документів; порядок і терміни їх передачі для відображення в бухгалтерському обліку; порядок передачі документів в архів. Товариство використовує уніфіковані форми первинної облікової документації, затверджені Держкомстатом України. При оформленні </w:t>
      </w:r>
      <w:proofErr w:type="spellStart"/>
      <w:r>
        <w:t>фінансово-</w:t>
      </w:r>
      <w:proofErr w:type="spellEnd"/>
      <w:r>
        <w:t xml:space="preserve"> господарських операції, по </w:t>
      </w:r>
      <w:r>
        <w:lastRenderedPageBreak/>
        <w:t>яких не передбачені уніфіковані форми, застосовуються самостійно розроблені форми первинних облікових документів, які у тому числі включені у Графік документообігу, і включають обов’язкові реквізити встановлені Законом України «Про бухгалтерський облік і фінансову звітність».</w:t>
      </w:r>
    </w:p>
    <w:p w:rsidR="00761B0C" w:rsidRDefault="00494341">
      <w:pPr>
        <w:pStyle w:val="11"/>
        <w:spacing w:after="320"/>
        <w:jc w:val="both"/>
      </w:pPr>
      <w:r>
        <w:t>Право одержувати та видавати товарно-матеріальні цінності дозволяється особам, список яких затверджується внутрішніми організаційно-розпорядчими документами. Дані особи несуть всю повноту відповідальності за проведення операцій у відповідності до вимог чинного законодавства та Статуту товариства, а також у відповідності до посадових інструкцій.</w:t>
      </w:r>
    </w:p>
    <w:p w:rsidR="00761B0C" w:rsidRDefault="00494341">
      <w:pPr>
        <w:pStyle w:val="22"/>
        <w:keepNext/>
        <w:keepLines/>
        <w:numPr>
          <w:ilvl w:val="0"/>
          <w:numId w:val="1"/>
        </w:numPr>
        <w:tabs>
          <w:tab w:val="left" w:pos="355"/>
        </w:tabs>
        <w:ind w:firstLine="0"/>
        <w:jc w:val="both"/>
      </w:pPr>
      <w:bookmarkStart w:id="9" w:name="bookmark18"/>
      <w:r>
        <w:t>Основні засоби</w:t>
      </w:r>
      <w:bookmarkEnd w:id="9"/>
    </w:p>
    <w:p w:rsidR="00761B0C" w:rsidRDefault="00494341">
      <w:pPr>
        <w:pStyle w:val="11"/>
        <w:spacing w:after="0"/>
        <w:jc w:val="both"/>
      </w:pPr>
      <w:r>
        <w:t>Облік основних засобів передбачає визнання активів, визначення їхньої балансової вартості та амортизаційних відрахувань, а також збитків від зменшення корисності, які слід визнавати у зв'язку з ними відповідно до МСБО 16 «Основні засоби». В цьому розділі також використовуються норми МСБО 8 «Облікові політики, зміни в облікових оцінках та помилки», МСФЗ 16 «Оренда», МСБО 36 «Зменшення корисності активів», МСФЗ 13 «Оцінка справедливої вартості».</w:t>
      </w:r>
    </w:p>
    <w:p w:rsidR="00761B0C" w:rsidRDefault="00494341">
      <w:pPr>
        <w:pStyle w:val="11"/>
        <w:spacing w:after="0"/>
        <w:jc w:val="both"/>
      </w:pPr>
      <w:r>
        <w:t>Основні засоби визнаються активом, якщо є ймовірність отримання майбутніх економічних вигод від використання активів та собівартість активу можна достовірно оцінити, яка включає такі види витрат :</w:t>
      </w:r>
    </w:p>
    <w:p w:rsidR="00761B0C" w:rsidRDefault="00494341">
      <w:pPr>
        <w:pStyle w:val="11"/>
        <w:numPr>
          <w:ilvl w:val="0"/>
          <w:numId w:val="3"/>
        </w:numPr>
        <w:tabs>
          <w:tab w:val="left" w:pos="1061"/>
        </w:tabs>
        <w:spacing w:after="0"/>
        <w:ind w:firstLine="780"/>
        <w:jc w:val="both"/>
      </w:pPr>
      <w:r>
        <w:t xml:space="preserve">ціни його придбання, включаючи імпортні мита та </w:t>
      </w:r>
      <w:proofErr w:type="spellStart"/>
      <w:r>
        <w:t>невідшкодовувані</w:t>
      </w:r>
      <w:proofErr w:type="spellEnd"/>
      <w:r>
        <w:t xml:space="preserve"> податки на придбання після вирахування торговельних знижок та цінових знижок.</w:t>
      </w:r>
    </w:p>
    <w:p w:rsidR="00761B0C" w:rsidRDefault="00494341">
      <w:pPr>
        <w:pStyle w:val="11"/>
        <w:numPr>
          <w:ilvl w:val="0"/>
          <w:numId w:val="3"/>
        </w:numPr>
        <w:tabs>
          <w:tab w:val="left" w:pos="1066"/>
        </w:tabs>
        <w:spacing w:after="0"/>
        <w:ind w:firstLine="780"/>
        <w:jc w:val="both"/>
      </w:pPr>
      <w:r>
        <w:t>будь-яких витрат, які безпосередньо пов'язані з доставкою активу до місця розташування та приведення його в стан, необхідний для експлуатації у спосіб, визначений управлінським персоналом.</w:t>
      </w:r>
    </w:p>
    <w:p w:rsidR="00761B0C" w:rsidRDefault="00494341">
      <w:pPr>
        <w:pStyle w:val="11"/>
        <w:numPr>
          <w:ilvl w:val="0"/>
          <w:numId w:val="3"/>
        </w:numPr>
        <w:tabs>
          <w:tab w:val="left" w:pos="1061"/>
        </w:tabs>
        <w:spacing w:after="320"/>
        <w:ind w:firstLine="780"/>
        <w:jc w:val="both"/>
      </w:pPr>
      <w:r>
        <w:t>первісної попередньої оцінки витрат на демонтаж, переміщення об'єкта та відновлення території, на якій він розташований, зобов'язання за якими суб'єкт господарювання бере або коли купує цей об'єкт, або коли використовує його протягом певного періоду з метою, яка відрізняється від виробництва запасів протягом цього періоду.</w:t>
      </w:r>
    </w:p>
    <w:p w:rsidR="00761B0C" w:rsidRDefault="00494341">
      <w:pPr>
        <w:pStyle w:val="11"/>
        <w:spacing w:after="0"/>
        <w:jc w:val="both"/>
      </w:pPr>
      <w:r>
        <w:t>Безоплатно отримані основні засоби, які відповідають критеріям визнання основних засобів:</w:t>
      </w:r>
    </w:p>
    <w:p w:rsidR="00761B0C" w:rsidRDefault="00494341">
      <w:pPr>
        <w:pStyle w:val="11"/>
        <w:numPr>
          <w:ilvl w:val="0"/>
          <w:numId w:val="4"/>
        </w:numPr>
        <w:tabs>
          <w:tab w:val="left" w:pos="1042"/>
        </w:tabs>
        <w:spacing w:after="0"/>
        <w:ind w:firstLine="720"/>
        <w:jc w:val="both"/>
      </w:pPr>
      <w:r>
        <w:t>утримують для використання у виробництві або постачанні товарів чи наданні послуг для надання в оренду або для адміністративних цілей;</w:t>
      </w:r>
    </w:p>
    <w:p w:rsidR="00761B0C" w:rsidRDefault="00494341">
      <w:pPr>
        <w:pStyle w:val="11"/>
        <w:numPr>
          <w:ilvl w:val="0"/>
          <w:numId w:val="4"/>
        </w:numPr>
        <w:tabs>
          <w:tab w:val="left" w:pos="1066"/>
        </w:tabs>
        <w:spacing w:after="0"/>
        <w:ind w:firstLine="720"/>
        <w:jc w:val="both"/>
      </w:pPr>
      <w:r>
        <w:t>використовуватимуть, за очікуванням, протягом більше одного періоду.</w:t>
      </w:r>
    </w:p>
    <w:p w:rsidR="00761B0C" w:rsidRDefault="00494341">
      <w:pPr>
        <w:pStyle w:val="11"/>
        <w:spacing w:after="320"/>
        <w:ind w:firstLine="720"/>
        <w:jc w:val="both"/>
      </w:pPr>
      <w:r>
        <w:t>Товариство визнає безоплатно отримані основні засоби по справедливій вартості, тобто за сумою, по якій можна обміняти актив або погасити заборгованість в операції між обізнаними, зацікавленими та незалежними сторонами.</w:t>
      </w:r>
    </w:p>
    <w:p w:rsidR="00761B0C" w:rsidRDefault="00494341">
      <w:pPr>
        <w:pStyle w:val="11"/>
        <w:spacing w:after="320"/>
        <w:jc w:val="both"/>
      </w:pPr>
      <w:r>
        <w:t>Собівартість об'єкта основних засобів, отриманого в обмін на подібний об'єкт визначається на рівні справедливої вартості отриманого активу, скоригованої на будь-яку суму грошей або грошових еквівалентів, яку було передано.</w:t>
      </w:r>
    </w:p>
    <w:p w:rsidR="00761B0C" w:rsidRDefault="00494341">
      <w:pPr>
        <w:pStyle w:val="11"/>
        <w:spacing w:after="320"/>
        <w:jc w:val="both"/>
      </w:pPr>
      <w:r>
        <w:t>Собівартість об’єкта основних засобів, придбаного в обмін (частковий обмін) на неподібний об’єкт визначається на рівні справедливої вартості отриманого активу, скоригованої на будь-яку суму грошей або грошових еквівалентів, яку було передано та мають однакову справедливу вартість.</w:t>
      </w:r>
    </w:p>
    <w:p w:rsidR="00761B0C" w:rsidRDefault="00494341">
      <w:pPr>
        <w:pStyle w:val="11"/>
        <w:spacing w:after="320" w:line="233" w:lineRule="auto"/>
        <w:jc w:val="both"/>
      </w:pPr>
      <w:r>
        <w:lastRenderedPageBreak/>
        <w:t>Основні засоби обліковуються за справедливою вартістю, за вирахуванням накопиченого зносу та резерву під знецінення, якщо необхідно.</w:t>
      </w:r>
    </w:p>
    <w:p w:rsidR="00761B0C" w:rsidRDefault="00494341">
      <w:pPr>
        <w:pStyle w:val="11"/>
        <w:spacing w:after="320"/>
        <w:jc w:val="both"/>
      </w:pPr>
      <w:r>
        <w:t>Витрати на незначний ремонт та технічне обслуговування відносяться на витрати того фінансового періоду, в якому вони були понесені. Вартість заміни значних компонентів основних засобів капіталізується, а замінені компоненти списуються.</w:t>
      </w:r>
    </w:p>
    <w:p w:rsidR="00761B0C" w:rsidRDefault="00494341">
      <w:pPr>
        <w:pStyle w:val="11"/>
        <w:spacing w:after="320"/>
        <w:jc w:val="both"/>
      </w:pPr>
      <w:r>
        <w:t>Первісна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призводить до збільшення майбутніх економічних вигід, первісно очікуваних від використання об'єкта. Залишкова вартість основних засобів зменшується у зв'язку з частковою ліквідацією об'єкта основних засобів. Витрати, що здійснюються для підтримання об'єкта в робочому стані (проведення технічного огляду, нагляду, обслуговування, ремонту тощо) та одержання первісно визначеної суми майбутніх економічних вигід від його використання, включаються до складу витрат періоду.</w:t>
      </w:r>
    </w:p>
    <w:p w:rsidR="00761B0C" w:rsidRDefault="00494341">
      <w:pPr>
        <w:pStyle w:val="11"/>
        <w:spacing w:after="0"/>
        <w:jc w:val="both"/>
      </w:pPr>
      <w:r>
        <w:t>Вартість капітальних ремонтів та інші подальші витрати включаються до балансової вартості основного засобу, якщо вони ведуть до збільшення майбутніх економічних вигід товариства, первісно очікуваних від використання об’єкта.</w:t>
      </w:r>
    </w:p>
    <w:p w:rsidR="00761B0C" w:rsidRDefault="00494341">
      <w:pPr>
        <w:pStyle w:val="11"/>
        <w:spacing w:after="320"/>
        <w:ind w:firstLine="840"/>
        <w:jc w:val="both"/>
      </w:pPr>
      <w:r>
        <w:t>Прикладами такого поліпшення є:</w:t>
      </w:r>
    </w:p>
    <w:p w:rsidR="00761B0C" w:rsidRDefault="00494341">
      <w:pPr>
        <w:pStyle w:val="11"/>
        <w:numPr>
          <w:ilvl w:val="0"/>
          <w:numId w:val="5"/>
        </w:numPr>
        <w:tabs>
          <w:tab w:val="left" w:pos="1382"/>
        </w:tabs>
        <w:spacing w:after="0"/>
        <w:ind w:firstLine="740"/>
        <w:jc w:val="both"/>
      </w:pPr>
      <w:r>
        <w:t>Витрати на поліпшення основних засобів для відновлення майбутніх економічних вигід, очікуваних від їх використання, визнаються капітальними інвестиціями за умови, що балансова вартість активу не перевищує його очікуваного відшкодування.</w:t>
      </w:r>
    </w:p>
    <w:p w:rsidR="00761B0C" w:rsidRDefault="00494341">
      <w:pPr>
        <w:pStyle w:val="11"/>
        <w:numPr>
          <w:ilvl w:val="0"/>
          <w:numId w:val="5"/>
        </w:numPr>
        <w:tabs>
          <w:tab w:val="left" w:pos="1382"/>
        </w:tabs>
        <w:spacing w:after="0"/>
        <w:ind w:firstLine="740"/>
        <w:jc w:val="both"/>
      </w:pPr>
      <w:r>
        <w:t>Витрати, пов’язані з поліпшенням об’єкта, амортизуються згідно зі строком корисного використання основного засобу.</w:t>
      </w:r>
    </w:p>
    <w:p w:rsidR="00761B0C" w:rsidRDefault="00494341">
      <w:pPr>
        <w:pStyle w:val="11"/>
        <w:numPr>
          <w:ilvl w:val="0"/>
          <w:numId w:val="5"/>
        </w:numPr>
        <w:tabs>
          <w:tab w:val="left" w:pos="1382"/>
        </w:tabs>
        <w:spacing w:after="0"/>
        <w:ind w:firstLine="740"/>
        <w:jc w:val="both"/>
      </w:pPr>
      <w:r>
        <w:t>Незавершене будівництво включає витрати на будівництво й реконструкцію основних засобів та на незавершені капітальні вкладення. Незавершене будівництво на дату складання фінансової звітності відображається за собівартістю за вирахуванням будь яких накопичених збитків від зменшення корисності.</w:t>
      </w:r>
    </w:p>
    <w:p w:rsidR="00761B0C" w:rsidRDefault="00494341">
      <w:pPr>
        <w:pStyle w:val="11"/>
        <w:spacing w:after="0"/>
        <w:jc w:val="both"/>
      </w:pPr>
      <w:r>
        <w:t>Незавершене будівництво не амортизується, поки актив не буде придатний до використання.</w:t>
      </w:r>
    </w:p>
    <w:p w:rsidR="00761B0C" w:rsidRDefault="00494341">
      <w:pPr>
        <w:pStyle w:val="11"/>
        <w:spacing w:after="0"/>
        <w:jc w:val="both"/>
      </w:pPr>
      <w:r>
        <w:t xml:space="preserve">Витрати на капітальний ремонт об'єктів основних засобів визнаються витратами звітного періоду. Такі витрати можуть бути визнані капітальними інвестиціями, якщо витрати на значний огляд і капітальний ремонт можуть бути ідентифіковані з окремою </w:t>
      </w:r>
      <w:proofErr w:type="spellStart"/>
      <w:r>
        <w:t>замортизованою</w:t>
      </w:r>
      <w:proofErr w:type="spellEnd"/>
      <w:r>
        <w:t xml:space="preserve"> частиною (компонентом) основних засобів. Витрати на ремонт можуть бути визнані капітальними інвестиціями, якщо ціна придбання активу вже відображає зобов'язання (необхідність) товариства здійснити в майбутньому витрати для приведення активу до стану, в якому він придатний для використання. Наприклад, у разі придбання будівлі, яка потребує ремонту, витрати на ремонт приймаються на збільшення первісної вартості цієї будівлі до суми, яка може бути відшкодована від використання будівлі в майбутньому. Вартість робіт, що приводить до збільшення очікуваних майбутніх вигод від об'єкта основних засобів, включається до капітальних інвестицій з майбутнім збільшенням первісної вартості основних засобів. Підставою для визнання капітальними інвестиціями витрат, пов'язаних з поліпшенням основних засобів, є зростання внаслідок цих витрат очікуваного терміну корисного використання </w:t>
      </w:r>
      <w:r>
        <w:lastRenderedPageBreak/>
        <w:t>об'єкта, кількості та/або якості продукції (робіт, послуг), яка виробляється (надається) цим об'єктом.</w:t>
      </w:r>
    </w:p>
    <w:p w:rsidR="00761B0C" w:rsidRDefault="00494341">
      <w:pPr>
        <w:pStyle w:val="11"/>
        <w:spacing w:after="0"/>
        <w:jc w:val="both"/>
      </w:pPr>
      <w:r>
        <w:t>Витрати на ремонт і технічне обслуговування основних засобів відображаються в звіті про сукупні доходи за період, в якому вони були понесені.</w:t>
      </w:r>
    </w:p>
    <w:p w:rsidR="00761B0C" w:rsidRDefault="00494341">
      <w:pPr>
        <w:pStyle w:val="11"/>
        <w:spacing w:after="0"/>
        <w:jc w:val="both"/>
      </w:pPr>
      <w:r>
        <w:t>Товариство не визнає в балансовій вартості об'єкта основних засобів витрати на щоденне обслуговування об'єкта. Навпаки, ці витрати визнаються в прибутку чи збитку, коли вони понесені. Витрати на щоденне обслуговування об'єкта, як правило, - це витрати на заробітну плату та витратні матеріали, а також це можуть бути витрати на незначні деталі. Призначення цих видатків часто визначають як "ремонти та технічне обслуговування" об'єкта основних засобів. Якщо умовою подовження експлуатації об'єкта основних засобів є виконання регулярних основних технічних оглядів для виявлення несправностей, незалежно від того, чи замінюються частини об'єкта, під час виконання значного огляду витрати на нього визнаються в балансовій вартості об'єкта основних засобів як заміна, якщо задовольняються критерії визнання. Будь-яку балансову вартість витрат на попередній огляд (на відміну від матеріальних частин), яка залишається, визнавати припиняють. Це відбувається незалежно від того, чи були ідентифіковані витрати попереднього огляду в операції, у якій об'єкт купували чи будували. Якщо треба, попередньо оцінені витрати на майбутній подібній огляд можна використати як показник того, якою була собівартість існуючого компонента технічного огляду під час купівлі чи будівництва об'єкта.</w:t>
      </w:r>
    </w:p>
    <w:p w:rsidR="00761B0C" w:rsidRDefault="00494341">
      <w:pPr>
        <w:pStyle w:val="11"/>
        <w:spacing w:after="0"/>
        <w:jc w:val="both"/>
      </w:pPr>
      <w:r>
        <w:t>Ремонт та технічне обслуговування активу не звільняє від необхідності нараховувати амортизацію.</w:t>
      </w:r>
    </w:p>
    <w:p w:rsidR="00761B0C" w:rsidRDefault="00494341">
      <w:pPr>
        <w:pStyle w:val="11"/>
        <w:spacing w:after="320"/>
        <w:jc w:val="both"/>
      </w:pPr>
      <w:r>
        <w:t xml:space="preserve">Станом на кінець звітного періоду поточного року керівництво оцінює наявність ознак знецінення основних засобів. Якщо такі ознаки існують, керівництво оцінює вартість відшкодування активу як його справедливу вартість за вирахуванням витрат на продаж або вартість використання активу, залежно від того, яка з них більша. Якщо існують будь-які ознаки знецінення, балансова вартість активу зменшується до вартості відшкодування, а збиток від знецінення визнається у складі прибутку чи збитку за рік. Збиток від знецінення активу, визнаний у попередніх роках, </w:t>
      </w:r>
      <w:proofErr w:type="spellStart"/>
      <w:r>
        <w:t>сторнується</w:t>
      </w:r>
      <w:proofErr w:type="spellEnd"/>
      <w:r>
        <w:t xml:space="preserve"> відповідним чином, якщо в оцінках, використаних для визначення вартості використання активу або його справедливої вартості за вирахуванням витрат на продаж, відбулися зміни.</w:t>
      </w:r>
    </w:p>
    <w:p w:rsidR="00761B0C" w:rsidRDefault="00494341">
      <w:pPr>
        <w:pStyle w:val="11"/>
        <w:spacing w:after="320"/>
        <w:jc w:val="both"/>
      </w:pPr>
      <w:r>
        <w:t>Програмне забезпечення, що придбавається разом із технікою, на якій воно буде використовується включається до первісної вартості такої техніки та не обліковується окремо. Програмне забезпечення, що придбавається окремо від технік, на якій воно буде використовується обліковується як окремий об’єкт основних засобів.</w:t>
      </w:r>
    </w:p>
    <w:p w:rsidR="00761B0C" w:rsidRDefault="00494341">
      <w:pPr>
        <w:pStyle w:val="11"/>
        <w:spacing w:after="0"/>
        <w:jc w:val="both"/>
      </w:pPr>
      <w:r>
        <w:rPr>
          <w:i/>
          <w:iCs/>
        </w:rPr>
        <w:t>Зменшення корисності основних засобів.</w:t>
      </w:r>
    </w:p>
    <w:p w:rsidR="00761B0C" w:rsidRDefault="00494341">
      <w:pPr>
        <w:pStyle w:val="11"/>
        <w:spacing w:after="0"/>
        <w:jc w:val="both"/>
      </w:pPr>
      <w:r>
        <w:t>На кінець звітного періоду поточного року, Товариство визначає, чи є наявні ознаки можливого зменшення корисності активу або групи активів, що генерують грошові потоки. Визначення зменшення корисності основних засобів передбачає застосування оцінок, які включають, зокрема, встановлення причини, часу та суми знецінення. Оцінка зменшення корисності ґрунтується на великій кількості факторів, таких як зміна поточного конкурентного середовища, збільшення вартості капіталу, зміни у майбутній доступності фінансування, технологічне старіння, припинення певного виду діяльності, поточна вартість відшкодування та інші зміни в обставинах, які свідчать про зменшення корисності.</w:t>
      </w:r>
    </w:p>
    <w:p w:rsidR="00761B0C" w:rsidRDefault="00494341">
      <w:pPr>
        <w:pStyle w:val="11"/>
        <w:spacing w:after="0"/>
        <w:jc w:val="both"/>
      </w:pPr>
      <w:r>
        <w:lastRenderedPageBreak/>
        <w:t xml:space="preserve">Щоб визначити, чи зменшилася корисність об'єкта основних засобів, суб'єкт господарювання застосовує МСБО 36 «Зменшення корисності активів». Цей Стандарт пояснює, як суб'єкт господарювання переглядає балансову вартість своїх активів, як визначає суму очікуваного відшкодування активу та коли він визнає або </w:t>
      </w:r>
      <w:proofErr w:type="spellStart"/>
      <w:r>
        <w:t>сторнує</w:t>
      </w:r>
      <w:proofErr w:type="spellEnd"/>
      <w:r>
        <w:t xml:space="preserve"> збиток від зменшення корисності.</w:t>
      </w:r>
    </w:p>
    <w:p w:rsidR="00761B0C" w:rsidRDefault="00494341">
      <w:pPr>
        <w:pStyle w:val="11"/>
        <w:spacing w:after="0"/>
        <w:jc w:val="both"/>
      </w:pPr>
      <w:r>
        <w:t>Компенсацію від третіх сторін за об'єкти основних засобів, корисність яких зменшилась, за втрачені або віддані об'єкти слід включати до прибутку чи збитку, коли компенсація стає такою, що підлягає отриманню.</w:t>
      </w:r>
    </w:p>
    <w:p w:rsidR="00761B0C" w:rsidRDefault="00494341">
      <w:pPr>
        <w:pStyle w:val="11"/>
        <w:spacing w:after="320"/>
        <w:jc w:val="both"/>
      </w:pPr>
      <w:r>
        <w:t>Термін корисного використання і відповідні норми амортизації визначаються для кожного об’єкта згідно з затвердженими в Товариства вимогами. Амортизація основних засобів нараховується прямолінійним методом з метою розподілу їх первісної вартості за вирахуванням оціночної ліквідаційної вартості протягом строків їх експлуатації за такими нормами:</w:t>
      </w:r>
    </w:p>
    <w:tbl>
      <w:tblPr>
        <w:tblOverlap w:val="never"/>
        <w:tblW w:w="0" w:type="auto"/>
        <w:jc w:val="center"/>
        <w:tblLayout w:type="fixed"/>
        <w:tblCellMar>
          <w:left w:w="10" w:type="dxa"/>
          <w:right w:w="10" w:type="dxa"/>
        </w:tblCellMar>
        <w:tblLook w:val="04A0"/>
      </w:tblPr>
      <w:tblGrid>
        <w:gridCol w:w="7238"/>
        <w:gridCol w:w="10"/>
        <w:gridCol w:w="2380"/>
        <w:gridCol w:w="49"/>
      </w:tblGrid>
      <w:tr w:rsidR="00761B0C">
        <w:trPr>
          <w:gridAfter w:val="1"/>
          <w:wAfter w:w="49" w:type="dxa"/>
          <w:trHeight w:hRule="exact" w:val="346"/>
          <w:jc w:val="center"/>
        </w:trPr>
        <w:tc>
          <w:tcPr>
            <w:tcW w:w="7238" w:type="dxa"/>
            <w:tcBorders>
              <w:top w:val="single" w:sz="4" w:space="0" w:color="auto"/>
              <w:left w:val="single" w:sz="4" w:space="0" w:color="auto"/>
            </w:tcBorders>
            <w:shd w:val="clear" w:color="auto" w:fill="auto"/>
            <w:vAlign w:val="bottom"/>
          </w:tcPr>
          <w:p w:rsidR="00761B0C" w:rsidRDefault="00494341">
            <w:pPr>
              <w:pStyle w:val="a7"/>
              <w:spacing w:after="0"/>
            </w:pPr>
            <w:r>
              <w:t>Будівлі та споруди</w:t>
            </w:r>
          </w:p>
        </w:tc>
        <w:tc>
          <w:tcPr>
            <w:tcW w:w="2390" w:type="dxa"/>
            <w:gridSpan w:val="2"/>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jc w:val="right"/>
            </w:pPr>
            <w:r>
              <w:t>від 20 до 25 років</w:t>
            </w:r>
          </w:p>
        </w:tc>
      </w:tr>
      <w:tr w:rsidR="00761B0C">
        <w:trPr>
          <w:gridAfter w:val="1"/>
          <w:wAfter w:w="49" w:type="dxa"/>
          <w:trHeight w:hRule="exact" w:val="346"/>
          <w:jc w:val="center"/>
        </w:trPr>
        <w:tc>
          <w:tcPr>
            <w:tcW w:w="7238" w:type="dxa"/>
            <w:tcBorders>
              <w:top w:val="single" w:sz="4" w:space="0" w:color="auto"/>
              <w:left w:val="single" w:sz="4" w:space="0" w:color="auto"/>
              <w:bottom w:val="single" w:sz="4" w:space="0" w:color="auto"/>
            </w:tcBorders>
            <w:shd w:val="clear" w:color="auto" w:fill="auto"/>
            <w:vAlign w:val="bottom"/>
          </w:tcPr>
          <w:p w:rsidR="00761B0C" w:rsidRDefault="00494341">
            <w:pPr>
              <w:pStyle w:val="a7"/>
              <w:spacing w:after="0"/>
            </w:pPr>
            <w:r>
              <w:t>Споруди</w:t>
            </w:r>
          </w:p>
        </w:tc>
        <w:tc>
          <w:tcPr>
            <w:tcW w:w="23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1B0C" w:rsidRDefault="00494341">
            <w:pPr>
              <w:pStyle w:val="a7"/>
              <w:spacing w:after="0"/>
              <w:jc w:val="right"/>
            </w:pPr>
            <w:r>
              <w:t>від 15 років</w:t>
            </w:r>
          </w:p>
        </w:tc>
      </w:tr>
      <w:tr w:rsidR="00761B0C">
        <w:trPr>
          <w:trHeight w:hRule="exact" w:val="355"/>
          <w:jc w:val="center"/>
        </w:trPr>
        <w:tc>
          <w:tcPr>
            <w:tcW w:w="7248" w:type="dxa"/>
            <w:gridSpan w:val="2"/>
            <w:tcBorders>
              <w:top w:val="single" w:sz="4" w:space="0" w:color="auto"/>
              <w:left w:val="single" w:sz="4" w:space="0" w:color="auto"/>
            </w:tcBorders>
            <w:shd w:val="clear" w:color="auto" w:fill="auto"/>
            <w:vAlign w:val="bottom"/>
          </w:tcPr>
          <w:p w:rsidR="00761B0C" w:rsidRDefault="00494341">
            <w:pPr>
              <w:pStyle w:val="a7"/>
              <w:spacing w:after="0"/>
            </w:pPr>
            <w:r>
              <w:t>Машини та обладнання</w:t>
            </w:r>
          </w:p>
        </w:tc>
        <w:tc>
          <w:tcPr>
            <w:tcW w:w="2429" w:type="dxa"/>
            <w:gridSpan w:val="2"/>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ind w:firstLine="280"/>
            </w:pPr>
            <w:r>
              <w:t>від 5 до 10 років</w:t>
            </w:r>
          </w:p>
        </w:tc>
      </w:tr>
      <w:tr w:rsidR="00761B0C">
        <w:trPr>
          <w:trHeight w:hRule="exact" w:val="326"/>
          <w:jc w:val="center"/>
        </w:trPr>
        <w:tc>
          <w:tcPr>
            <w:tcW w:w="7248" w:type="dxa"/>
            <w:gridSpan w:val="2"/>
            <w:tcBorders>
              <w:top w:val="single" w:sz="4" w:space="0" w:color="auto"/>
              <w:left w:val="single" w:sz="4" w:space="0" w:color="auto"/>
            </w:tcBorders>
            <w:shd w:val="clear" w:color="auto" w:fill="auto"/>
            <w:vAlign w:val="bottom"/>
          </w:tcPr>
          <w:p w:rsidR="00761B0C" w:rsidRDefault="00494341">
            <w:pPr>
              <w:pStyle w:val="a7"/>
              <w:spacing w:after="0"/>
            </w:pPr>
            <w:r>
              <w:t>Транспортні засоби</w:t>
            </w:r>
          </w:p>
        </w:tc>
        <w:tc>
          <w:tcPr>
            <w:tcW w:w="2429" w:type="dxa"/>
            <w:gridSpan w:val="2"/>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jc w:val="right"/>
            </w:pPr>
            <w:r>
              <w:t>від 5 років</w:t>
            </w:r>
          </w:p>
        </w:tc>
      </w:tr>
      <w:tr w:rsidR="00761B0C">
        <w:trPr>
          <w:trHeight w:hRule="exact" w:val="653"/>
          <w:jc w:val="center"/>
        </w:trPr>
        <w:tc>
          <w:tcPr>
            <w:tcW w:w="7248" w:type="dxa"/>
            <w:gridSpan w:val="2"/>
            <w:tcBorders>
              <w:top w:val="single" w:sz="4" w:space="0" w:color="auto"/>
              <w:left w:val="single" w:sz="4" w:space="0" w:color="auto"/>
            </w:tcBorders>
            <w:shd w:val="clear" w:color="auto" w:fill="auto"/>
            <w:vAlign w:val="bottom"/>
          </w:tcPr>
          <w:p w:rsidR="00761B0C" w:rsidRDefault="00494341">
            <w:pPr>
              <w:pStyle w:val="a7"/>
              <w:spacing w:after="0"/>
            </w:pPr>
            <w:r>
              <w:t>Комп’ютерна техніка, офісне обладнання, інструменти, прилади та інвентар</w:t>
            </w:r>
          </w:p>
        </w:tc>
        <w:tc>
          <w:tcPr>
            <w:tcW w:w="2429" w:type="dxa"/>
            <w:gridSpan w:val="2"/>
            <w:tcBorders>
              <w:top w:val="single" w:sz="4" w:space="0" w:color="auto"/>
              <w:left w:val="single" w:sz="4" w:space="0" w:color="auto"/>
              <w:right w:val="single" w:sz="4" w:space="0" w:color="auto"/>
            </w:tcBorders>
            <w:shd w:val="clear" w:color="auto" w:fill="auto"/>
          </w:tcPr>
          <w:p w:rsidR="00761B0C" w:rsidRDefault="00494341">
            <w:pPr>
              <w:pStyle w:val="a7"/>
              <w:spacing w:after="0"/>
              <w:ind w:firstLine="280"/>
            </w:pPr>
            <w:r>
              <w:t>від 2 до 5 років</w:t>
            </w:r>
          </w:p>
        </w:tc>
      </w:tr>
      <w:tr w:rsidR="00761B0C">
        <w:trPr>
          <w:trHeight w:hRule="exact" w:val="355"/>
          <w:jc w:val="center"/>
        </w:trPr>
        <w:tc>
          <w:tcPr>
            <w:tcW w:w="7248" w:type="dxa"/>
            <w:gridSpan w:val="2"/>
            <w:tcBorders>
              <w:top w:val="single" w:sz="4" w:space="0" w:color="auto"/>
              <w:left w:val="single" w:sz="4" w:space="0" w:color="auto"/>
              <w:bottom w:val="single" w:sz="4" w:space="0" w:color="auto"/>
            </w:tcBorders>
            <w:shd w:val="clear" w:color="auto" w:fill="auto"/>
            <w:vAlign w:val="bottom"/>
          </w:tcPr>
          <w:p w:rsidR="00761B0C" w:rsidRDefault="00494341">
            <w:pPr>
              <w:pStyle w:val="a7"/>
              <w:spacing w:after="0"/>
            </w:pPr>
            <w:r>
              <w:t>Інші основні засоби</w:t>
            </w:r>
          </w:p>
        </w:tc>
        <w:tc>
          <w:tcPr>
            <w:tcW w:w="24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61B0C" w:rsidRDefault="00494341">
            <w:pPr>
              <w:pStyle w:val="a7"/>
              <w:spacing w:after="0"/>
              <w:ind w:firstLine="280"/>
            </w:pPr>
            <w:r>
              <w:t>від 2 до 12 років</w:t>
            </w:r>
          </w:p>
        </w:tc>
      </w:tr>
    </w:tbl>
    <w:p w:rsidR="00761B0C" w:rsidRDefault="00761B0C">
      <w:pPr>
        <w:spacing w:after="299" w:line="1" w:lineRule="exact"/>
      </w:pPr>
    </w:p>
    <w:p w:rsidR="00761B0C" w:rsidRDefault="00494341">
      <w:pPr>
        <w:pStyle w:val="11"/>
        <w:spacing w:after="0"/>
        <w:ind w:firstLine="140"/>
        <w:jc w:val="both"/>
      </w:pPr>
      <w:r>
        <w:t>Фактори, які можуть вплинути на оцінку строків корисного використання активів та їх залишкової вартості, включають таке:</w:t>
      </w:r>
    </w:p>
    <w:p w:rsidR="00761B0C" w:rsidRDefault="00494341">
      <w:pPr>
        <w:pStyle w:val="11"/>
        <w:numPr>
          <w:ilvl w:val="0"/>
          <w:numId w:val="6"/>
        </w:numPr>
        <w:tabs>
          <w:tab w:val="left" w:pos="1530"/>
        </w:tabs>
        <w:spacing w:after="0"/>
        <w:ind w:left="1180"/>
        <w:jc w:val="both"/>
      </w:pPr>
      <w:r>
        <w:t>зміни у технологіях;</w:t>
      </w:r>
    </w:p>
    <w:p w:rsidR="00761B0C" w:rsidRDefault="00494341">
      <w:pPr>
        <w:pStyle w:val="11"/>
        <w:numPr>
          <w:ilvl w:val="0"/>
          <w:numId w:val="6"/>
        </w:numPr>
        <w:tabs>
          <w:tab w:val="left" w:pos="1530"/>
        </w:tabs>
        <w:spacing w:after="0"/>
        <w:ind w:left="1180"/>
      </w:pPr>
      <w:r>
        <w:t>зміни технологіях технічного обслуговування;</w:t>
      </w:r>
    </w:p>
    <w:p w:rsidR="00761B0C" w:rsidRDefault="00494341">
      <w:pPr>
        <w:pStyle w:val="11"/>
        <w:numPr>
          <w:ilvl w:val="0"/>
          <w:numId w:val="6"/>
        </w:numPr>
        <w:tabs>
          <w:tab w:val="left" w:pos="1530"/>
        </w:tabs>
        <w:spacing w:after="0"/>
        <w:ind w:left="1180"/>
      </w:pPr>
      <w:r>
        <w:t>зміни регуляторних актів та законодавства;</w:t>
      </w:r>
    </w:p>
    <w:p w:rsidR="00761B0C" w:rsidRDefault="00494341">
      <w:pPr>
        <w:pStyle w:val="11"/>
        <w:numPr>
          <w:ilvl w:val="0"/>
          <w:numId w:val="6"/>
        </w:numPr>
        <w:tabs>
          <w:tab w:val="left" w:pos="1530"/>
        </w:tabs>
        <w:spacing w:after="0"/>
        <w:ind w:left="1180"/>
      </w:pPr>
      <w:r>
        <w:t>непередбачені проблеми з експлуатацією.</w:t>
      </w:r>
    </w:p>
    <w:p w:rsidR="00761B0C" w:rsidRDefault="00494341">
      <w:pPr>
        <w:pStyle w:val="11"/>
        <w:spacing w:after="0"/>
        <w:ind w:firstLine="140"/>
        <w:jc w:val="both"/>
      </w:pPr>
      <w:r>
        <w:t>Переоцінка основних засобів. Товариство на кінець звітного періоду поточного року, визначає, чи є наявні ознаки можливої переоцінки групи активів, що генерують грошові потоки.</w:t>
      </w:r>
    </w:p>
    <w:p w:rsidR="00761B0C" w:rsidRDefault="00494341">
      <w:pPr>
        <w:pStyle w:val="11"/>
        <w:spacing w:after="0"/>
        <w:ind w:firstLine="140"/>
        <w:jc w:val="both"/>
      </w:pPr>
      <w:r>
        <w:t>Переоцінка основних засобів тієї групи, об’єкти якої вже зазнали переоцінки, надалі має проводитися на звітну дату, але не рідше 1 разу на звітний рік, щоб їх залишкова вартість на дату балансу суттєво не відрізнялася від справедливої вартості.</w:t>
      </w:r>
    </w:p>
    <w:p w:rsidR="00761B0C" w:rsidRDefault="00494341">
      <w:pPr>
        <w:pStyle w:val="11"/>
        <w:spacing w:after="300"/>
        <w:ind w:firstLine="140"/>
        <w:jc w:val="both"/>
      </w:pPr>
      <w:r>
        <w:t>Якщо немає ринкового свідчення щодо справедливої вартості через вузькоспеціалізований характер об'єкта основних засобів, а також через те, що такий об'єкт рідко продається (за винятком випадків, коли він є складником бізнесу, що триває), тоді Товариство попередньо оцінює справедливу вартість, застосовуючи підхід за доходом або за амортизованою відновлюваною собівартістю відповідно до МСФЗ 13 «Оцінка справедливої вартості».</w:t>
      </w:r>
    </w:p>
    <w:p w:rsidR="00761B0C" w:rsidRDefault="00494341">
      <w:pPr>
        <w:pStyle w:val="11"/>
        <w:spacing w:after="0"/>
        <w:jc w:val="both"/>
      </w:pPr>
      <w:r>
        <w:rPr>
          <w:i/>
          <w:iCs/>
        </w:rPr>
        <w:t>Амортизація основних засобів</w:t>
      </w:r>
    </w:p>
    <w:p w:rsidR="00761B0C" w:rsidRDefault="00494341">
      <w:pPr>
        <w:pStyle w:val="11"/>
        <w:spacing w:after="0"/>
        <w:ind w:firstLine="140"/>
        <w:jc w:val="both"/>
      </w:pPr>
      <w:r>
        <w:t xml:space="preserve">Амортизація основних засобів здійснюється </w:t>
      </w:r>
      <w:r>
        <w:rPr>
          <w:b/>
          <w:bCs/>
        </w:rPr>
        <w:t xml:space="preserve">прямолінійним методом </w:t>
      </w:r>
      <w:r>
        <w:t>із застосуванням строків, встановлених для кожного об’єкта основних засобів. Суму активу, що амортизується, слід розподіляти на систематичній основі протягом строку його корисної експлуатації.</w:t>
      </w:r>
    </w:p>
    <w:p w:rsidR="00761B0C" w:rsidRDefault="00494341">
      <w:pPr>
        <w:pStyle w:val="11"/>
        <w:spacing w:after="0"/>
        <w:ind w:firstLine="140"/>
        <w:jc w:val="both"/>
      </w:pPr>
      <w:r>
        <w:t xml:space="preserve">Якщо один об’єкт основних засобів складається з частин, які мають різний строк корисного використання (експлуатації), то кожна з цих частин може визнаватися в </w:t>
      </w:r>
      <w:r>
        <w:lastRenderedPageBreak/>
        <w:t>бухгалтерському обліку як окремий об’єкт обліку, на який окремо слід нараховувати амортизацію.</w:t>
      </w:r>
    </w:p>
    <w:p w:rsidR="00761B0C" w:rsidRDefault="00494341">
      <w:pPr>
        <w:pStyle w:val="11"/>
        <w:spacing w:after="0"/>
        <w:ind w:firstLine="140"/>
        <w:jc w:val="both"/>
      </w:pPr>
      <w:r>
        <w:t>Нарахування зносу (амортизації) на об’єкт основних засобів, що придбаний та готовий до експлуатації, починається з місяця наступного з дати його оприбуткування. Основні засоби, що передбачають проведення монтажу, збірки починають амортизуватись у момент, коли він стає придатним для використання.</w:t>
      </w:r>
    </w:p>
    <w:p w:rsidR="00761B0C" w:rsidRDefault="00494341">
      <w:pPr>
        <w:pStyle w:val="11"/>
        <w:spacing w:after="0"/>
        <w:ind w:firstLine="140"/>
        <w:jc w:val="both"/>
      </w:pPr>
      <w:r>
        <w:t>Амортизацію активу припиняють на одну з двох дат, яка відбувається раніше: на дату, з якої актив класифікують як утримуваний для продажу (або включають до ліквідаційної групи, яку класифікують як утримувану для продажу) згідно з МСФЗ 5 «</w:t>
      </w:r>
      <w:proofErr w:type="spellStart"/>
      <w:r>
        <w:t>Непоточні</w:t>
      </w:r>
      <w:proofErr w:type="spellEnd"/>
      <w:r>
        <w:t xml:space="preserve"> активи, утримувані для продажу, та припинена діяльність», або на дату, з якої припиняють визнання активу.</w:t>
      </w:r>
    </w:p>
    <w:p w:rsidR="00761B0C" w:rsidRDefault="00494341">
      <w:pPr>
        <w:pStyle w:val="11"/>
        <w:spacing w:after="0"/>
        <w:ind w:firstLine="140"/>
        <w:jc w:val="both"/>
      </w:pPr>
      <w:r>
        <w:t xml:space="preserve">Амортизацію не припиняють, коли актив не використовують або він вибуває з активного використання, доки актив не буде </w:t>
      </w:r>
      <w:proofErr w:type="spellStart"/>
      <w:r>
        <w:t>замортизований</w:t>
      </w:r>
      <w:proofErr w:type="spellEnd"/>
      <w:r>
        <w:t xml:space="preserve"> повністю.</w:t>
      </w:r>
    </w:p>
    <w:p w:rsidR="00761B0C" w:rsidRDefault="00494341">
      <w:pPr>
        <w:pStyle w:val="11"/>
        <w:spacing w:after="0"/>
        <w:jc w:val="both"/>
      </w:pPr>
      <w:r>
        <w:t>Земля та будівлі є окремими активами, і їх обліковують окремо, навіть якщо їх придбали разом. Земля має необмежений строк корисної експлуатації і внаслідок цього не амортизується. Будівлі мають обмежений строк корисної експлуатації і внаслідок цього є активами, що амортизуються. Збільшення вартості землі, на якій стоїть будівля, не впливає на визначення суми будівлі, що амортизується.</w:t>
      </w:r>
    </w:p>
    <w:p w:rsidR="00761B0C" w:rsidRDefault="00494341">
      <w:pPr>
        <w:pStyle w:val="11"/>
        <w:spacing w:after="0"/>
        <w:jc w:val="both"/>
      </w:pPr>
      <w:r>
        <w:t>Якщо собівартість землі включає в себе витрати на демонтаж, переміщення та відновлення території, ця частина земельного активу амортизується протягом періоду вигід, отриманих під час здійснення цих витрат. У деяких випадках сама земля може мати обмежений строк корисної експлуатації, тоді її амортизують методом, який відображає вигоди, що мають бути отримані від неї.</w:t>
      </w:r>
    </w:p>
    <w:p w:rsidR="00761B0C" w:rsidRDefault="00494341">
      <w:pPr>
        <w:pStyle w:val="11"/>
        <w:spacing w:after="320"/>
        <w:jc w:val="both"/>
      </w:pPr>
      <w:r>
        <w:t>Незавершені капітальні інвестиції не амортизуються. Товариство самостійно розробляє критерії відповідно до яких об’єкт основних засобів може бути віднесеним до операційної нерухомості, і до інвестиційної нерухомості.</w:t>
      </w:r>
    </w:p>
    <w:p w:rsidR="00761B0C" w:rsidRDefault="00494341">
      <w:pPr>
        <w:pStyle w:val="11"/>
        <w:spacing w:after="0"/>
        <w:jc w:val="both"/>
      </w:pPr>
      <w:r>
        <w:rPr>
          <w:i/>
          <w:iCs/>
        </w:rPr>
        <w:t>Визначення ліквідаційної вартості основних засобів.</w:t>
      </w:r>
    </w:p>
    <w:p w:rsidR="00761B0C" w:rsidRDefault="00494341">
      <w:pPr>
        <w:pStyle w:val="11"/>
        <w:spacing w:after="0"/>
        <w:jc w:val="both"/>
      </w:pPr>
      <w:r>
        <w:t>Ліквідаційна вартість активу - це оціночна сума, яку Товариство отримало б у теперішній момент від продажу цього активу, за мінусом оціночних витрат на продаж, якби стан та строк експлуатації цього активу відповідав строку експлуатації та стану, які цей актив матиме наприкінці строку експлуатації.</w:t>
      </w:r>
    </w:p>
    <w:p w:rsidR="00761B0C" w:rsidRDefault="00494341">
      <w:pPr>
        <w:pStyle w:val="11"/>
        <w:spacing w:after="0"/>
        <w:jc w:val="both"/>
      </w:pPr>
      <w:r>
        <w:t>Ліквідаційна вартість основних засобів визначається постійно діючою інвентаризаційною комісією.</w:t>
      </w:r>
    </w:p>
    <w:p w:rsidR="00761B0C" w:rsidRDefault="00494341">
      <w:pPr>
        <w:pStyle w:val="11"/>
        <w:spacing w:after="320"/>
        <w:jc w:val="both"/>
      </w:pPr>
      <w:r>
        <w:t>Визначена ліквідаційна вартість основних засобів вказується у момент, коли основний засіб стає придатним для використання та фіксується при введенні в експлуатацію об’єктів основних засобів.</w:t>
      </w:r>
    </w:p>
    <w:p w:rsidR="00761B0C" w:rsidRDefault="00494341">
      <w:pPr>
        <w:pStyle w:val="11"/>
        <w:spacing w:after="0"/>
        <w:jc w:val="both"/>
      </w:pPr>
      <w:r>
        <w:rPr>
          <w:i/>
          <w:iCs/>
        </w:rPr>
        <w:t>Припинення визнання основних засобів</w:t>
      </w:r>
    </w:p>
    <w:p w:rsidR="00761B0C" w:rsidRDefault="00494341">
      <w:pPr>
        <w:pStyle w:val="11"/>
        <w:spacing w:after="0"/>
        <w:jc w:val="both"/>
      </w:pPr>
      <w:r>
        <w:t>Припинення визнання об’єкта основних засобів активом відбувається у разі:</w:t>
      </w:r>
    </w:p>
    <w:p w:rsidR="00761B0C" w:rsidRDefault="00494341">
      <w:pPr>
        <w:pStyle w:val="11"/>
        <w:numPr>
          <w:ilvl w:val="0"/>
          <w:numId w:val="7"/>
        </w:numPr>
        <w:tabs>
          <w:tab w:val="left" w:pos="1086"/>
        </w:tabs>
        <w:spacing w:after="0"/>
        <w:ind w:firstLine="740"/>
        <w:jc w:val="both"/>
      </w:pPr>
      <w:r>
        <w:t>після вибуття;</w:t>
      </w:r>
    </w:p>
    <w:p w:rsidR="00761B0C" w:rsidRDefault="00494341">
      <w:pPr>
        <w:pStyle w:val="11"/>
        <w:numPr>
          <w:ilvl w:val="0"/>
          <w:numId w:val="7"/>
        </w:numPr>
        <w:tabs>
          <w:tab w:val="left" w:pos="1071"/>
        </w:tabs>
        <w:spacing w:after="0"/>
        <w:ind w:firstLine="740"/>
        <w:jc w:val="both"/>
      </w:pPr>
      <w:r>
        <w:t>коли не очікують майбутніх економічних вигід від його використання або вибуття (ліквідація).</w:t>
      </w:r>
    </w:p>
    <w:p w:rsidR="00761B0C" w:rsidRDefault="00494341">
      <w:pPr>
        <w:pStyle w:val="11"/>
        <w:spacing w:after="0"/>
        <w:jc w:val="both"/>
      </w:pPr>
      <w:r>
        <w:t>Вибуття об'єкта основних засобів може відбуватися шляхом, продажу, укладання договору оренди, безоплатна передача.</w:t>
      </w:r>
    </w:p>
    <w:p w:rsidR="00761B0C" w:rsidRDefault="00494341">
      <w:pPr>
        <w:pStyle w:val="11"/>
        <w:spacing w:after="0"/>
        <w:jc w:val="both"/>
      </w:pPr>
      <w:r>
        <w:t>Під час визначення дати вибуття об'єкта, Товариство застосовує критерії МСБО 18 для визнання доходу від продажу товарів. МСФЗ 16 застосовується до вибуття шляхом продажу майна з наступною його орендою.</w:t>
      </w:r>
    </w:p>
    <w:p w:rsidR="00761B0C" w:rsidRDefault="00494341">
      <w:pPr>
        <w:pStyle w:val="11"/>
        <w:spacing w:after="0"/>
        <w:jc w:val="both"/>
      </w:pPr>
      <w:r>
        <w:t xml:space="preserve">У разі вибуття об’єкта основного засобу шляхом продажу він переводиться до групи </w:t>
      </w:r>
      <w:proofErr w:type="spellStart"/>
      <w:r>
        <w:t>непоточних</w:t>
      </w:r>
      <w:proofErr w:type="spellEnd"/>
      <w:r>
        <w:t xml:space="preserve"> активів, утримуваних для продажу і в подальшому застосовує </w:t>
      </w:r>
      <w:r>
        <w:lastRenderedPageBreak/>
        <w:t>норми МСФЗ 5 «</w:t>
      </w:r>
      <w:proofErr w:type="spellStart"/>
      <w:r>
        <w:t>Непоточні</w:t>
      </w:r>
      <w:proofErr w:type="spellEnd"/>
      <w:r>
        <w:t xml:space="preserve"> активи, утримувані для продажу, та припинена діяльність»</w:t>
      </w:r>
    </w:p>
    <w:p w:rsidR="00761B0C" w:rsidRDefault="00494341">
      <w:pPr>
        <w:pStyle w:val="11"/>
        <w:spacing w:after="0"/>
        <w:jc w:val="both"/>
      </w:pPr>
      <w:r>
        <w:t>Об’єкт основних засобів списується з балансу у разі його вибуття внаслідок ліквідації, безоплатної передачі тощо.</w:t>
      </w:r>
    </w:p>
    <w:p w:rsidR="00761B0C" w:rsidRDefault="00494341">
      <w:pPr>
        <w:pStyle w:val="11"/>
        <w:spacing w:after="0"/>
        <w:jc w:val="both"/>
      </w:pPr>
      <w:r>
        <w:t xml:space="preserve">У випадку, якщо балансова (залишкова) вартість об’єкта основних засобів відповідає його ліквідаційній вартості, то цей об’єкт визнається як </w:t>
      </w:r>
      <w:proofErr w:type="spellStart"/>
      <w:r>
        <w:t>замортизований</w:t>
      </w:r>
      <w:proofErr w:type="spellEnd"/>
      <w:r>
        <w:t>. У випадку його непридатності для використання актив підлягає списанню.</w:t>
      </w:r>
    </w:p>
    <w:p w:rsidR="00761B0C" w:rsidRDefault="00494341">
      <w:pPr>
        <w:pStyle w:val="11"/>
        <w:spacing w:after="0"/>
        <w:jc w:val="both"/>
      </w:pPr>
      <w:r>
        <w:t>Основні засоби списують на основі рішення комісії, наказу керівника відповідно до Порядку списання основних засобів з балансу товариства.</w:t>
      </w:r>
    </w:p>
    <w:p w:rsidR="00761B0C" w:rsidRDefault="00494341">
      <w:pPr>
        <w:pStyle w:val="11"/>
        <w:spacing w:after="320"/>
        <w:jc w:val="both"/>
      </w:pPr>
      <w:r>
        <w:t>Прибутки та збитки від вибуття активів визначаються шляхом порівняння суми надходжень з їхньою балансовою вартістю та визнаються у складі прибутку чи збитку за рік.</w:t>
      </w:r>
    </w:p>
    <w:p w:rsidR="00761B0C" w:rsidRDefault="00494341">
      <w:pPr>
        <w:pStyle w:val="22"/>
        <w:keepNext/>
        <w:keepLines/>
        <w:ind w:firstLine="580"/>
        <w:jc w:val="both"/>
      </w:pPr>
      <w:bookmarkStart w:id="10" w:name="bookmark20"/>
      <w:r>
        <w:t>10. Нематеріальні активи</w:t>
      </w:r>
      <w:bookmarkEnd w:id="10"/>
    </w:p>
    <w:p w:rsidR="00761B0C" w:rsidRDefault="00494341">
      <w:pPr>
        <w:pStyle w:val="11"/>
        <w:spacing w:after="0"/>
        <w:jc w:val="both"/>
      </w:pPr>
      <w:r>
        <w:t>Облік нематеріальних активів передбачає визнання активів, визначення їхньої балансової вартості та амортизаційних відрахувань, а також збитків від зменшення корисності, які слід визнавати у зв'язку з ними відповідно до МСБО 38 «Нематеріальні актив». В цьому розділі також використовуються норми МСБО 8 «Облікові політики, зміни в облікових оцінках та помилки», МСФЗ 16 «Оренда», МСБО 36 «Зменшення корисності активів», МСФЗ 13 «Оцінка справедливої вартості».</w:t>
      </w:r>
    </w:p>
    <w:p w:rsidR="00761B0C" w:rsidRDefault="00494341">
      <w:pPr>
        <w:pStyle w:val="11"/>
        <w:spacing w:after="0"/>
        <w:jc w:val="both"/>
      </w:pPr>
      <w:r>
        <w:t>Програмне забезпечення, яке є невіддільним і необхідним для роботи основних засобів, враховується у складі цих об’єктів. Програмне забезпечення, що не створене чи не придбане з метою надання прав користування, до нематеріальних активів не відноситься.</w:t>
      </w:r>
    </w:p>
    <w:p w:rsidR="00761B0C" w:rsidRDefault="00494341">
      <w:pPr>
        <w:pStyle w:val="11"/>
        <w:spacing w:after="0"/>
        <w:jc w:val="both"/>
      </w:pPr>
      <w:r>
        <w:t>Нематеріальні активи визнаються активом, якщо є ймовірність отримання майбутніх економічних вигод від використання активів та собівартість активу можна достовірно оцінити.</w:t>
      </w:r>
    </w:p>
    <w:p w:rsidR="00761B0C" w:rsidRDefault="00494341">
      <w:pPr>
        <w:pStyle w:val="11"/>
        <w:spacing w:after="0"/>
        <w:jc w:val="both"/>
      </w:pPr>
      <w:r>
        <w:t>Безоплатно отримані нематеріальні активи оцінюються за справедливою вартістю.</w:t>
      </w:r>
    </w:p>
    <w:p w:rsidR="00761B0C" w:rsidRDefault="00494341">
      <w:pPr>
        <w:pStyle w:val="11"/>
        <w:spacing w:after="0"/>
        <w:jc w:val="both"/>
      </w:pPr>
      <w:r>
        <w:t>Собівартість внутрішньо створених нематеріальних активів складаються з усіх витрат на створення, виробництва та підготовку активів до використання. Витрати на дослідження (науково-дослідні роботи) визнаються витратами в період їх здійснення. Нематеріальний актив, який виникає в результаті розробки (чи в результаті етапу розробки внутрішнього проекту), слід визнавати, якщо можна довести все, що зазначено нижче:</w:t>
      </w:r>
    </w:p>
    <w:p w:rsidR="00761B0C" w:rsidRDefault="00494341">
      <w:pPr>
        <w:pStyle w:val="11"/>
        <w:numPr>
          <w:ilvl w:val="0"/>
          <w:numId w:val="8"/>
        </w:numPr>
        <w:tabs>
          <w:tab w:val="left" w:pos="913"/>
        </w:tabs>
        <w:spacing w:after="0"/>
        <w:ind w:firstLine="600"/>
        <w:jc w:val="both"/>
      </w:pPr>
      <w:r>
        <w:t>технічну можливість завершити створення нематеріального активу так, щоб він був придатний до використання або продажу;</w:t>
      </w:r>
    </w:p>
    <w:p w:rsidR="00761B0C" w:rsidRDefault="00494341">
      <w:pPr>
        <w:pStyle w:val="11"/>
        <w:numPr>
          <w:ilvl w:val="0"/>
          <w:numId w:val="8"/>
        </w:numPr>
        <w:tabs>
          <w:tab w:val="left" w:pos="928"/>
        </w:tabs>
        <w:spacing w:after="0"/>
        <w:ind w:firstLine="600"/>
        <w:jc w:val="both"/>
      </w:pPr>
      <w:r>
        <w:t>свій намір завершити створення нематеріального активу та використовувати або продати його;</w:t>
      </w:r>
    </w:p>
    <w:p w:rsidR="00761B0C" w:rsidRDefault="00494341">
      <w:pPr>
        <w:pStyle w:val="11"/>
        <w:numPr>
          <w:ilvl w:val="0"/>
          <w:numId w:val="8"/>
        </w:numPr>
        <w:tabs>
          <w:tab w:val="left" w:pos="1478"/>
        </w:tabs>
        <w:spacing w:after="0"/>
        <w:ind w:firstLine="600"/>
        <w:jc w:val="both"/>
      </w:pPr>
      <w:r>
        <w:t>свою здатність використовувати або продати нематеріальний актив;</w:t>
      </w:r>
    </w:p>
    <w:p w:rsidR="00761B0C" w:rsidRDefault="00494341">
      <w:pPr>
        <w:pStyle w:val="11"/>
        <w:numPr>
          <w:ilvl w:val="0"/>
          <w:numId w:val="8"/>
        </w:numPr>
        <w:tabs>
          <w:tab w:val="left" w:pos="899"/>
        </w:tabs>
        <w:spacing w:after="0"/>
        <w:ind w:firstLine="600"/>
        <w:jc w:val="both"/>
      </w:pPr>
      <w:r>
        <w:t>як нематеріальний актив генеруватиме ймовірні майбутні економічні вигоди (довести існування ринку для продукції нематеріального активу чи для самого нематеріального активу або (якщо його використовуватимуть внутрішньо) корисність нематеріального активу);</w:t>
      </w:r>
    </w:p>
    <w:p w:rsidR="00761B0C" w:rsidRDefault="00494341">
      <w:pPr>
        <w:pStyle w:val="11"/>
        <w:spacing w:after="0"/>
        <w:ind w:firstLine="600"/>
        <w:jc w:val="both"/>
      </w:pPr>
      <w:r>
        <w:t>ґ) наявність відповідних технічних, фінансових та інших ресурсів для завершення розробки та використання чи продажу нематеріального активу;</w:t>
      </w:r>
    </w:p>
    <w:p w:rsidR="00761B0C" w:rsidRDefault="00494341">
      <w:pPr>
        <w:pStyle w:val="11"/>
        <w:numPr>
          <w:ilvl w:val="0"/>
          <w:numId w:val="8"/>
        </w:numPr>
        <w:tabs>
          <w:tab w:val="left" w:pos="928"/>
        </w:tabs>
        <w:spacing w:after="0"/>
        <w:ind w:firstLine="600"/>
        <w:jc w:val="both"/>
      </w:pPr>
      <w:r>
        <w:t>свою здатність достовірно оцінити видатки, які відносяться до нематеріального активу протягом його розробки.</w:t>
      </w:r>
    </w:p>
    <w:p w:rsidR="00761B0C" w:rsidRDefault="00494341">
      <w:pPr>
        <w:pStyle w:val="11"/>
        <w:spacing w:after="0"/>
        <w:ind w:firstLine="600"/>
        <w:jc w:val="both"/>
      </w:pPr>
      <w:r>
        <w:t xml:space="preserve">Внутрішньо генеровані бренди, заголовки, назви видань, переліки клієнтів та </w:t>
      </w:r>
      <w:r>
        <w:lastRenderedPageBreak/>
        <w:t>інші подібні своєю сутністю об'єкти не слід визнавати як нематеріальні активи. Подібні витрати включаються до витрат періоду.</w:t>
      </w:r>
    </w:p>
    <w:p w:rsidR="00761B0C" w:rsidRDefault="00494341">
      <w:pPr>
        <w:pStyle w:val="11"/>
        <w:spacing w:after="0"/>
        <w:jc w:val="both"/>
      </w:pPr>
      <w:r>
        <w:t>На кінець звітного періоду поточного року, Товариство визначає, чи є наявні ознаки можливого зменшення корисності активу або групи активів, що генерують грошові потоки. Визначення зменшення корисності нематеріальних активів передбачає застосування оцінок, які включають, зокрема, встановлення причини, часу та суми знецінення.</w:t>
      </w:r>
    </w:p>
    <w:p w:rsidR="00761B0C" w:rsidRDefault="00494341">
      <w:pPr>
        <w:pStyle w:val="11"/>
        <w:spacing w:after="320"/>
        <w:jc w:val="both"/>
      </w:pPr>
      <w:r>
        <w:t xml:space="preserve">Щоб визначити, чи зменшилася корисність об'єкта нематеріальних активів, суб'єкт господарювання застосовує МСБО 36 «Зменшення корисності активів». Цей Стандарт пояснює, як суб'єкт господарювання переглядає балансову вартість своїх активів, як визначає суму очікуваного відшкодування активу та коли він визнає або </w:t>
      </w:r>
      <w:proofErr w:type="spellStart"/>
      <w:r>
        <w:t>сторнує</w:t>
      </w:r>
      <w:proofErr w:type="spellEnd"/>
      <w:r>
        <w:t xml:space="preserve"> збиток від зменшення корисності.</w:t>
      </w:r>
    </w:p>
    <w:p w:rsidR="00761B0C" w:rsidRDefault="00494341">
      <w:pPr>
        <w:pStyle w:val="11"/>
        <w:spacing w:after="0"/>
        <w:jc w:val="both"/>
      </w:pPr>
      <w:r>
        <w:t>Компенсацію від третіх сторін за об'єкти нематеріальних активів, корисність яких зменшилась, за втрачені або віддані об'єкти слід включати до прибутку чи збитку, коли компенсація стає такою, що підлягає отриманню.</w:t>
      </w:r>
    </w:p>
    <w:p w:rsidR="00761B0C" w:rsidRDefault="00494341">
      <w:pPr>
        <w:pStyle w:val="11"/>
        <w:spacing w:after="0"/>
        <w:jc w:val="both"/>
      </w:pPr>
      <w:r>
        <w:t>Термін корисного використання і відповідні норми амортизації визначаються для кожного об’єкта згідно з затвердженими в Підприємства вимогами.</w:t>
      </w:r>
    </w:p>
    <w:p w:rsidR="00761B0C" w:rsidRDefault="00494341">
      <w:pPr>
        <w:pStyle w:val="11"/>
        <w:spacing w:after="0"/>
        <w:jc w:val="both"/>
      </w:pPr>
      <w:r>
        <w:t>Термін корисної експлуатації нематеріальних активів визначається відповідно до правовстановлюючих документів, але не менше 7 років.</w:t>
      </w:r>
    </w:p>
    <w:p w:rsidR="00761B0C" w:rsidRDefault="00494341">
      <w:pPr>
        <w:pStyle w:val="11"/>
        <w:spacing w:after="0"/>
        <w:jc w:val="both"/>
      </w:pPr>
      <w:r>
        <w:t>Фактори, які можуть вплинути на оцінку строків корисного використання активів та їх залишкової вартості, включають таке:</w:t>
      </w:r>
    </w:p>
    <w:p w:rsidR="00761B0C" w:rsidRDefault="00494341">
      <w:pPr>
        <w:pStyle w:val="11"/>
        <w:numPr>
          <w:ilvl w:val="0"/>
          <w:numId w:val="9"/>
        </w:numPr>
        <w:tabs>
          <w:tab w:val="left" w:pos="1446"/>
        </w:tabs>
        <w:spacing w:after="0"/>
        <w:ind w:left="1100"/>
        <w:jc w:val="both"/>
      </w:pPr>
      <w:r>
        <w:t>зміни у технологіях;</w:t>
      </w:r>
    </w:p>
    <w:p w:rsidR="00761B0C" w:rsidRDefault="00494341">
      <w:pPr>
        <w:pStyle w:val="11"/>
        <w:numPr>
          <w:ilvl w:val="0"/>
          <w:numId w:val="9"/>
        </w:numPr>
        <w:tabs>
          <w:tab w:val="left" w:pos="1446"/>
        </w:tabs>
        <w:spacing w:after="0"/>
        <w:ind w:left="1100"/>
        <w:jc w:val="both"/>
      </w:pPr>
      <w:r>
        <w:t>зміни технологіях технічного обслуговування;</w:t>
      </w:r>
    </w:p>
    <w:p w:rsidR="00761B0C" w:rsidRDefault="00494341">
      <w:pPr>
        <w:pStyle w:val="11"/>
        <w:numPr>
          <w:ilvl w:val="0"/>
          <w:numId w:val="9"/>
        </w:numPr>
        <w:tabs>
          <w:tab w:val="left" w:pos="1446"/>
        </w:tabs>
        <w:spacing w:after="0"/>
        <w:ind w:left="1100"/>
        <w:jc w:val="both"/>
      </w:pPr>
      <w:r>
        <w:t>зміни регуляторних актів та законодавства;</w:t>
      </w:r>
    </w:p>
    <w:p w:rsidR="00761B0C" w:rsidRDefault="00494341">
      <w:pPr>
        <w:pStyle w:val="11"/>
        <w:numPr>
          <w:ilvl w:val="0"/>
          <w:numId w:val="9"/>
        </w:numPr>
        <w:tabs>
          <w:tab w:val="left" w:pos="1446"/>
        </w:tabs>
        <w:spacing w:after="0"/>
        <w:ind w:left="1100"/>
        <w:jc w:val="both"/>
      </w:pPr>
      <w:r>
        <w:t>непередбачені проблеми з експлуатацією.</w:t>
      </w:r>
    </w:p>
    <w:p w:rsidR="00761B0C" w:rsidRDefault="00494341">
      <w:pPr>
        <w:pStyle w:val="11"/>
        <w:spacing w:after="320"/>
        <w:jc w:val="both"/>
      </w:pPr>
      <w:r>
        <w:t>Переоцінка нематеріальних активів. Товариство на кінець звітного періоду поточного року, визначає, чи є наявні ознаки можливої переоцінки групи активів, що генерують грошові потоки.</w:t>
      </w:r>
    </w:p>
    <w:p w:rsidR="00761B0C" w:rsidRDefault="00494341">
      <w:pPr>
        <w:pStyle w:val="11"/>
        <w:spacing w:after="320"/>
        <w:jc w:val="both"/>
      </w:pPr>
      <w:r>
        <w:t>Підставою до проведення переоцінки активів визначено, справедлива вартість активу повинна суттєво відрізнятись від його балансової вартості (10% і більше).</w:t>
      </w:r>
    </w:p>
    <w:p w:rsidR="00761B0C" w:rsidRDefault="00494341">
      <w:pPr>
        <w:pStyle w:val="11"/>
        <w:spacing w:after="320"/>
        <w:jc w:val="both"/>
      </w:pPr>
      <w:r>
        <w:t>Переоцінку нематеріальних активів потрібно здійснювати до групи активів, однакових за характером і способом використання в діяльності Підприємства. Переоцінка нематеріальних активів тієї групи, об’єкти якої вже зазнали переоцінки, надалі має проводитися на звітну дату, але не рідше 1 разу на звітний рік, щоб їх залишкова вартість на дату балансу суттєво не відрізнялася від справедливої вартості.</w:t>
      </w:r>
    </w:p>
    <w:p w:rsidR="00761B0C" w:rsidRDefault="00494341">
      <w:pPr>
        <w:pStyle w:val="11"/>
        <w:spacing w:after="320"/>
        <w:jc w:val="both"/>
      </w:pPr>
      <w:r>
        <w:t>Якщо немає ринкового свідчення щодо справедливої вартості через вузькоспеціалізований характер об'єкта нематеріальних активів, а також через те, що такий об'єкт рідко продається (за винятком випадків, коли він є складником бізнесу, що триває), тоді Товариство попередньо оцінює справедливу вартість, застосовуючи підхід за доходом або за амортизованою відновлюваною собівартістю відповідно до МСФЗ 13 «Оцінка справедливої вартості».</w:t>
      </w:r>
    </w:p>
    <w:p w:rsidR="00761B0C" w:rsidRDefault="00494341">
      <w:pPr>
        <w:pStyle w:val="11"/>
        <w:spacing w:after="0"/>
        <w:jc w:val="both"/>
      </w:pPr>
      <w:r>
        <w:t xml:space="preserve">Амортизація нематеріальних активів здійснюється </w:t>
      </w:r>
      <w:r>
        <w:rPr>
          <w:b/>
          <w:bCs/>
        </w:rPr>
        <w:t xml:space="preserve">прямолінійним методом </w:t>
      </w:r>
      <w:r>
        <w:t xml:space="preserve">із застосуванням строків, встановлених для кожного об’єкта нематеріальних активів. Суму активу, що амортизується, слід розподіляти на систематичній основі </w:t>
      </w:r>
      <w:r>
        <w:lastRenderedPageBreak/>
        <w:t>протягом строку його корисної експлуатації.</w:t>
      </w:r>
    </w:p>
    <w:p w:rsidR="00761B0C" w:rsidRDefault="00494341">
      <w:pPr>
        <w:pStyle w:val="11"/>
        <w:spacing w:after="320"/>
        <w:jc w:val="both"/>
      </w:pPr>
      <w:r>
        <w:t>Якщо один об’єкт нематеріальних активів складається з частин, які мають різний строк корисного використання (експлуатації), то кожна з цих частин може визнаватися в бухгалтерському обліку як окремий об’єкт обліку, на який окремо слід нараховувати амортизувати.</w:t>
      </w:r>
    </w:p>
    <w:p w:rsidR="00761B0C" w:rsidRDefault="00494341">
      <w:pPr>
        <w:pStyle w:val="11"/>
        <w:spacing w:after="320"/>
        <w:jc w:val="both"/>
      </w:pPr>
      <w:r>
        <w:t>Нарахування амортизації на об’єкт нематеріальних активів починають у місяці наступному, коли він стає придатним для використання, тобто коли він доставлений до місця розташування та приведений у стан, у якому він придатний до експлуатації у спосіб, визначений управлінським персоналом.</w:t>
      </w:r>
    </w:p>
    <w:p w:rsidR="00761B0C" w:rsidRDefault="00494341">
      <w:pPr>
        <w:pStyle w:val="11"/>
        <w:spacing w:after="320"/>
        <w:jc w:val="both"/>
      </w:pPr>
      <w:r>
        <w:t>Амортизацію активу припиняють на одну з двох дат, яка відбувається раніше: на дату, з якої актив класифікують як утримуваний для продажу (або включають до ліквідаційної групи, яку класифікують як утримувану для продажу) згідно з МСФЗ 5 «</w:t>
      </w:r>
      <w:proofErr w:type="spellStart"/>
      <w:r>
        <w:t>Непоточні</w:t>
      </w:r>
      <w:proofErr w:type="spellEnd"/>
      <w:r>
        <w:t xml:space="preserve"> активи, утримувані для продажу, та припинена діяльність», або на дату, з якої припиняють визнання активу.</w:t>
      </w:r>
    </w:p>
    <w:p w:rsidR="00761B0C" w:rsidRDefault="00494341">
      <w:pPr>
        <w:pStyle w:val="11"/>
        <w:spacing w:after="320"/>
        <w:jc w:val="both"/>
      </w:pPr>
      <w:r>
        <w:t xml:space="preserve">Амортизацію не припиняють, коли актив не використовують або він вибуває з активного використання, доки актив не буде </w:t>
      </w:r>
      <w:proofErr w:type="spellStart"/>
      <w:r>
        <w:t>замортизований</w:t>
      </w:r>
      <w:proofErr w:type="spellEnd"/>
      <w:r>
        <w:t xml:space="preserve"> повністю.</w:t>
      </w:r>
    </w:p>
    <w:p w:rsidR="00761B0C" w:rsidRDefault="00494341">
      <w:pPr>
        <w:pStyle w:val="11"/>
        <w:spacing w:after="0"/>
        <w:jc w:val="both"/>
      </w:pPr>
      <w:r>
        <w:rPr>
          <w:i/>
          <w:iCs/>
        </w:rPr>
        <w:t>Визначення ліквідаційної вартості нематеріальних активів.</w:t>
      </w:r>
    </w:p>
    <w:p w:rsidR="00761B0C" w:rsidRDefault="00494341">
      <w:pPr>
        <w:pStyle w:val="11"/>
        <w:spacing w:after="0"/>
        <w:jc w:val="both"/>
      </w:pPr>
      <w:r>
        <w:t>Ліквідаційна вартість нематеріальних активів визначається постійно діючою інвентаризаційною комісією.</w:t>
      </w:r>
    </w:p>
    <w:p w:rsidR="00761B0C" w:rsidRDefault="00494341">
      <w:pPr>
        <w:pStyle w:val="11"/>
        <w:spacing w:after="320"/>
        <w:jc w:val="both"/>
      </w:pPr>
      <w:r>
        <w:t>Визначена ліквідаційна вартість нематеріальних активів вказується у момент, коли основний засіб стає придатним для використання та фіксується при введенні в експлуатацію об’єктів нематеріальних активів.</w:t>
      </w:r>
    </w:p>
    <w:p w:rsidR="00761B0C" w:rsidRDefault="00494341">
      <w:pPr>
        <w:pStyle w:val="11"/>
        <w:spacing w:after="0"/>
        <w:jc w:val="both"/>
      </w:pPr>
      <w:r>
        <w:rPr>
          <w:i/>
          <w:iCs/>
        </w:rPr>
        <w:t>Припинення визнання нематеріальних активів</w:t>
      </w:r>
    </w:p>
    <w:p w:rsidR="00761B0C" w:rsidRDefault="00494341">
      <w:pPr>
        <w:pStyle w:val="11"/>
        <w:spacing w:after="0"/>
        <w:jc w:val="both"/>
      </w:pPr>
      <w:r>
        <w:t>Припинення визнання об’єкта нематеріальних активів активом відбувається у разі:</w:t>
      </w:r>
    </w:p>
    <w:p w:rsidR="00761B0C" w:rsidRDefault="00494341">
      <w:pPr>
        <w:pStyle w:val="11"/>
        <w:numPr>
          <w:ilvl w:val="0"/>
          <w:numId w:val="10"/>
        </w:numPr>
        <w:tabs>
          <w:tab w:val="left" w:pos="1115"/>
        </w:tabs>
        <w:spacing w:after="0"/>
        <w:ind w:firstLine="760"/>
        <w:jc w:val="both"/>
      </w:pPr>
      <w:r>
        <w:t>після вибуття;</w:t>
      </w:r>
    </w:p>
    <w:p w:rsidR="00761B0C" w:rsidRDefault="00494341">
      <w:pPr>
        <w:pStyle w:val="11"/>
        <w:numPr>
          <w:ilvl w:val="0"/>
          <w:numId w:val="10"/>
        </w:numPr>
        <w:tabs>
          <w:tab w:val="left" w:pos="1085"/>
        </w:tabs>
        <w:spacing w:after="0"/>
        <w:ind w:firstLine="760"/>
        <w:jc w:val="both"/>
      </w:pPr>
      <w:r>
        <w:t>коли не очікують майбутніх економічних вигід від його використання або вибуття (ліквідація).</w:t>
      </w:r>
    </w:p>
    <w:p w:rsidR="00761B0C" w:rsidRDefault="00494341">
      <w:pPr>
        <w:pStyle w:val="11"/>
        <w:spacing w:after="0"/>
        <w:jc w:val="both"/>
      </w:pPr>
      <w:r>
        <w:t>Вибуття об'єкта нематеріальних активів може відбуватися шляхом, продажу, укладання договору оренди безоплатна передача).</w:t>
      </w:r>
    </w:p>
    <w:p w:rsidR="00761B0C" w:rsidRDefault="00494341">
      <w:pPr>
        <w:pStyle w:val="11"/>
        <w:spacing w:after="0"/>
        <w:jc w:val="both"/>
      </w:pPr>
      <w:r>
        <w:t xml:space="preserve">У разі вибуття об’єкта нематеріальних активів шляхом продажу він переводиться до групи </w:t>
      </w:r>
      <w:proofErr w:type="spellStart"/>
      <w:r>
        <w:t>непоточних</w:t>
      </w:r>
      <w:proofErr w:type="spellEnd"/>
      <w:r>
        <w:t xml:space="preserve"> активів, утримуваних для продажу і в подальшому застосовує норми МСФЗ 5 «</w:t>
      </w:r>
      <w:proofErr w:type="spellStart"/>
      <w:r>
        <w:t>Непоточні</w:t>
      </w:r>
      <w:proofErr w:type="spellEnd"/>
      <w:r>
        <w:t xml:space="preserve"> активи, утримувані для продажу, та припинена діяльність»</w:t>
      </w:r>
    </w:p>
    <w:p w:rsidR="00761B0C" w:rsidRDefault="00494341">
      <w:pPr>
        <w:pStyle w:val="11"/>
        <w:spacing w:after="0"/>
        <w:jc w:val="both"/>
      </w:pPr>
      <w:r>
        <w:t>Об’єкт нематеріальних активів списується з балансу у разі його вибуття внаслідок ліквідації, безоплатної передачі тощо.</w:t>
      </w:r>
    </w:p>
    <w:p w:rsidR="00761B0C" w:rsidRDefault="00494341">
      <w:pPr>
        <w:pStyle w:val="11"/>
        <w:jc w:val="both"/>
      </w:pPr>
      <w:r>
        <w:t xml:space="preserve">У випадку, якщо балансова (залишкова) вартість об’єкта нематеріальних активів відповідає його ліквідаційній вартості, то цей об’єкт визнається як </w:t>
      </w:r>
      <w:proofErr w:type="spellStart"/>
      <w:r>
        <w:t>замортизований</w:t>
      </w:r>
      <w:proofErr w:type="spellEnd"/>
      <w:r>
        <w:t>. У випадку його непридатності для використання актив підлягає списанню.</w:t>
      </w:r>
    </w:p>
    <w:p w:rsidR="00761B0C" w:rsidRDefault="00494341">
      <w:pPr>
        <w:pStyle w:val="11"/>
        <w:spacing w:after="320"/>
        <w:jc w:val="both"/>
      </w:pPr>
      <w:r>
        <w:t>Прибутки та збитки від вибуття активів визначаються шляхом порівняння суми надходжень з їхньою балансовою вартістю та визнаються у складі прибутку чи збитку за рік.</w:t>
      </w:r>
    </w:p>
    <w:p w:rsidR="00761B0C" w:rsidRDefault="00494341">
      <w:pPr>
        <w:pStyle w:val="22"/>
        <w:keepNext/>
        <w:keepLines/>
        <w:numPr>
          <w:ilvl w:val="0"/>
          <w:numId w:val="11"/>
        </w:numPr>
        <w:tabs>
          <w:tab w:val="left" w:pos="1052"/>
        </w:tabs>
        <w:ind w:firstLine="580"/>
        <w:jc w:val="both"/>
      </w:pPr>
      <w:bookmarkStart w:id="11" w:name="bookmark22"/>
      <w:r>
        <w:lastRenderedPageBreak/>
        <w:t>Незавершені капітальні інвестиції.</w:t>
      </w:r>
      <w:bookmarkEnd w:id="11"/>
    </w:p>
    <w:p w:rsidR="00761B0C" w:rsidRDefault="00494341">
      <w:pPr>
        <w:pStyle w:val="11"/>
        <w:spacing w:after="320"/>
        <w:jc w:val="both"/>
      </w:pPr>
      <w:r>
        <w:t>Незавершене будівництво - це вартість основних засобів, будівництво яких ще не завершене, за вирахуванням накопиченого знецінення. Сюди відноситься вартість будівельних робіт, вартість машин та обладнання та інші прямі витрати.</w:t>
      </w:r>
    </w:p>
    <w:p w:rsidR="00761B0C" w:rsidRDefault="00494341">
      <w:pPr>
        <w:pStyle w:val="11"/>
        <w:spacing w:after="0"/>
        <w:jc w:val="both"/>
      </w:pPr>
      <w:r>
        <w:t>Незавершене будівництво включає в себе роботи з будівництва, виготовлення, реконструкції, модернізації, технічного переоснащення (шляхом модернізації), придбання об’єктів основних засобів та нематеріальних активів, які на дату балансу не введені в експлуатацію, а також аванси сплачені для придбання таких необоротних активів.</w:t>
      </w:r>
    </w:p>
    <w:p w:rsidR="00761B0C" w:rsidRDefault="00494341">
      <w:pPr>
        <w:pStyle w:val="11"/>
        <w:spacing w:after="0"/>
        <w:jc w:val="both"/>
      </w:pPr>
      <w:r>
        <w:t xml:space="preserve">Придбані (виготовлені) основні засоби включають у себе </w:t>
      </w:r>
      <w:proofErr w:type="spellStart"/>
      <w:r>
        <w:t>промислово-</w:t>
      </w:r>
      <w:proofErr w:type="spellEnd"/>
      <w:r>
        <w:t xml:space="preserve"> технологічне обладнання, електричне устаткування, передавальні пристрої, побутове обладнання, комплектуючі тощо.</w:t>
      </w:r>
    </w:p>
    <w:p w:rsidR="00761B0C" w:rsidRDefault="00494341">
      <w:pPr>
        <w:pStyle w:val="11"/>
        <w:spacing w:after="320"/>
        <w:jc w:val="both"/>
      </w:pPr>
      <w:r>
        <w:t>Незавершені капітальні інвестиції відображаються по собівартості за вирахуванням збитків від знецінення. Незавершене капітальне будівництво та придбані (виготовлені) основні засоби не амортизуються до моменту закінчення будівництва відповідних активів і вводу їх в експлуатацію, коли основні засоби доведені до стану, придатного до використання.</w:t>
      </w:r>
    </w:p>
    <w:p w:rsidR="00761B0C" w:rsidRDefault="00494341">
      <w:pPr>
        <w:pStyle w:val="22"/>
        <w:keepNext/>
        <w:keepLines/>
        <w:numPr>
          <w:ilvl w:val="0"/>
          <w:numId w:val="11"/>
        </w:numPr>
        <w:tabs>
          <w:tab w:val="left" w:pos="1052"/>
        </w:tabs>
        <w:ind w:firstLine="580"/>
        <w:jc w:val="both"/>
      </w:pPr>
      <w:bookmarkStart w:id="12" w:name="bookmark24"/>
      <w:r>
        <w:t>Запаси</w:t>
      </w:r>
      <w:bookmarkEnd w:id="12"/>
    </w:p>
    <w:p w:rsidR="00761B0C" w:rsidRDefault="00494341">
      <w:pPr>
        <w:pStyle w:val="11"/>
        <w:spacing w:after="320"/>
        <w:jc w:val="both"/>
      </w:pPr>
      <w:r>
        <w:t>Облік запасів передбачає визнання активів, визначення їхньої балансової вартості, а також збитків від зменшення корисності, які слід визнавати у зв'язку з ними відповідно до МСБО 2 «Запаси».</w:t>
      </w:r>
    </w:p>
    <w:p w:rsidR="00761B0C" w:rsidRDefault="00494341">
      <w:pPr>
        <w:pStyle w:val="11"/>
        <w:spacing w:after="0"/>
        <w:jc w:val="both"/>
      </w:pPr>
      <w:r>
        <w:t>Запаси визнаються активами у разі дотримання наступних умов:</w:t>
      </w:r>
    </w:p>
    <w:p w:rsidR="00761B0C" w:rsidRDefault="00494341">
      <w:pPr>
        <w:pStyle w:val="11"/>
        <w:numPr>
          <w:ilvl w:val="0"/>
          <w:numId w:val="12"/>
        </w:numPr>
        <w:tabs>
          <w:tab w:val="left" w:pos="1477"/>
        </w:tabs>
        <w:spacing w:after="0"/>
        <w:ind w:left="1480" w:hanging="560"/>
        <w:jc w:val="both"/>
      </w:pPr>
      <w:r>
        <w:t>утримуються для продажу у звичайному ході господарської діяльності;</w:t>
      </w:r>
    </w:p>
    <w:p w:rsidR="00761B0C" w:rsidRDefault="00494341">
      <w:pPr>
        <w:pStyle w:val="11"/>
        <w:numPr>
          <w:ilvl w:val="0"/>
          <w:numId w:val="12"/>
        </w:numPr>
        <w:tabs>
          <w:tab w:val="left" w:pos="1477"/>
        </w:tabs>
        <w:spacing w:after="0"/>
        <w:ind w:firstLine="920"/>
        <w:jc w:val="both"/>
      </w:pPr>
      <w:r>
        <w:t>перебувають у процесі виробництва для продажу;</w:t>
      </w:r>
    </w:p>
    <w:p w:rsidR="00761B0C" w:rsidRDefault="00494341">
      <w:pPr>
        <w:pStyle w:val="11"/>
        <w:numPr>
          <w:ilvl w:val="0"/>
          <w:numId w:val="12"/>
        </w:numPr>
        <w:tabs>
          <w:tab w:val="left" w:pos="1477"/>
        </w:tabs>
        <w:spacing w:after="0"/>
        <w:ind w:left="1480" w:hanging="560"/>
        <w:jc w:val="both"/>
      </w:pPr>
      <w:r>
        <w:t>існують у формі основних чи допоміжних матеріалів для споживання у виробничому процесі або при наданні послуг.</w:t>
      </w:r>
    </w:p>
    <w:p w:rsidR="00761B0C" w:rsidRDefault="00494341">
      <w:pPr>
        <w:pStyle w:val="11"/>
        <w:spacing w:after="0"/>
        <w:jc w:val="both"/>
      </w:pPr>
      <w:r>
        <w:t>Запаси оцінюються за меншою з двох сум: собівартістю або чистою вартістю реалізації.</w:t>
      </w:r>
    </w:p>
    <w:p w:rsidR="00761B0C" w:rsidRDefault="00494341">
      <w:pPr>
        <w:pStyle w:val="11"/>
        <w:spacing w:after="320"/>
        <w:jc w:val="both"/>
      </w:pPr>
      <w:r>
        <w:t>Транспортно-заготівельні витрати включати у первісну вартість запасів.</w:t>
      </w:r>
    </w:p>
    <w:p w:rsidR="00761B0C" w:rsidRDefault="00494341">
      <w:pPr>
        <w:pStyle w:val="11"/>
        <w:spacing w:after="320"/>
        <w:jc w:val="both"/>
      </w:pPr>
      <w:r>
        <w:t>Собівартість безоплатно отриманих запасів прирівнюється до справедливої вартості таких запасів з урахуванням витрат, передбачених для запасів, що придбаваються за плату.</w:t>
      </w:r>
    </w:p>
    <w:p w:rsidR="00761B0C" w:rsidRDefault="00494341">
      <w:pPr>
        <w:pStyle w:val="11"/>
        <w:jc w:val="both"/>
      </w:pPr>
      <w:r>
        <w:t>Зменшення балансової вартості запасів до чистої вартості реалізації здійснюється шляхом нарахування резерву на знецінення запасів у випадку якщо на балансі підприємства обліковуються запаси вартість яких є меншою від чистої вартості реалізації або вони є неліквідними.</w:t>
      </w:r>
    </w:p>
    <w:p w:rsidR="00761B0C" w:rsidRDefault="00494341">
      <w:pPr>
        <w:pStyle w:val="11"/>
        <w:spacing w:after="320"/>
        <w:jc w:val="both"/>
      </w:pPr>
      <w:r>
        <w:t>Сума будь-якого часткового списання запасів до їх чистої вартості реалізації та всі втрати запасів визнаються витратами періоду, в якому відбувається часткове списання або збиток. Зарахування сум уцінок до витрат, здійснюється за допомогою створення резерву (забезпечення) під знецінення запасів. Відновлення вартості раніше уцінених запасів відображається як зменшення витрат за тією статтею, на яку списують собівартість запасів.</w:t>
      </w:r>
    </w:p>
    <w:p w:rsidR="00761B0C" w:rsidRDefault="00494341">
      <w:pPr>
        <w:pStyle w:val="11"/>
        <w:spacing w:after="320"/>
        <w:jc w:val="both"/>
      </w:pPr>
      <w:r>
        <w:lastRenderedPageBreak/>
        <w:t xml:space="preserve">Вартість запасів, що є повністю зіпсованими чи втраченими (нестачі) списується на витрати звітного періоду. Суми нестач і втрат від псування цінностей відображаються на </w:t>
      </w:r>
      <w:proofErr w:type="spellStart"/>
      <w:r>
        <w:t>позабалансі</w:t>
      </w:r>
      <w:proofErr w:type="spellEnd"/>
      <w:r>
        <w:t xml:space="preserve"> до моменту встановлення конкретного винуватця події. Після встановлення осіб які мають відшкодовувати витрати, належна до відшкодування сума зараховується до складу дебіторської заборгованості (або інших активів) та доходів звітного періоду. Якщо чиста вартість реалізації тих запасів по яким було створено резерв знецінення, та є активами на дату балансу, надалі збільшується, то на суму збільшення чистої вартості реалізації, але не більше суми попереднього зменшення відбувається коригування нарахованого резерву із визнанням іншого операційного доходу. У разі вибуття запасів по яким було </w:t>
      </w:r>
      <w:proofErr w:type="spellStart"/>
      <w:r>
        <w:t>нараховано</w:t>
      </w:r>
      <w:proofErr w:type="spellEnd"/>
      <w:r>
        <w:t xml:space="preserve"> резерв знецінення, їх вартість списується за рахунок цього резерву у розмірі проведеної уцінки, решта включається до витрат періоду.</w:t>
      </w:r>
    </w:p>
    <w:p w:rsidR="00761B0C" w:rsidRDefault="00494341">
      <w:pPr>
        <w:pStyle w:val="11"/>
        <w:spacing w:after="320"/>
        <w:jc w:val="both"/>
      </w:pPr>
      <w:r>
        <w:t>У тому випадку коли чиста вартість реалізації сировини і матеріалів, нижча собівартості, а ціна реалізації не змінилася, зменшення вартості сировини і матеріалів в звітності не відображається.</w:t>
      </w:r>
    </w:p>
    <w:p w:rsidR="00761B0C" w:rsidRDefault="00494341">
      <w:pPr>
        <w:pStyle w:val="11"/>
        <w:spacing w:after="0"/>
        <w:jc w:val="both"/>
      </w:pPr>
      <w:r>
        <w:t xml:space="preserve">Дооцінка можлива лише за раніше уціненими запасами і в розмірі, що не перевищує суми раніше проведеної уцінки. Тобто переоцінка запасів здійснюється таким чином. Отримані запаси первісно відображаються в обліку за собівартістю. Якщо в подальшому їх вартість з якихось причина знижується, вони </w:t>
      </w:r>
      <w:proofErr w:type="spellStart"/>
      <w:r>
        <w:t>уцінюються</w:t>
      </w:r>
      <w:proofErr w:type="spellEnd"/>
      <w:r>
        <w:t>. При цьому в обліку відображаються запаси за чистою вартістю і сума уцінки, тобто сума уцінки включається до інших операційних витрат). Якщо вартість раніше уцінених запасів знову підвищилася, тоді можна зробити їх дооцінку на суму збільшення чистої вартості реалізації, але не більше від суми попередньої уцінки. У цьому випадку в обліку відображаються запаси за новою чистою вартістю реалізації та сума дооцінки. Резерв на знецінення запасів визнається в період створення з визнанням інших операційних витрат.</w:t>
      </w:r>
    </w:p>
    <w:p w:rsidR="00761B0C" w:rsidRDefault="00494341">
      <w:pPr>
        <w:pStyle w:val="11"/>
        <w:spacing w:after="0"/>
        <w:jc w:val="both"/>
      </w:pPr>
      <w:r>
        <w:t>Метод оцінки вибуття запасів визначається за ідентифікованою собівартістю одиниці запасів.</w:t>
      </w:r>
    </w:p>
    <w:p w:rsidR="00761B0C" w:rsidRDefault="00494341">
      <w:pPr>
        <w:pStyle w:val="11"/>
        <w:spacing w:after="320"/>
        <w:jc w:val="both"/>
      </w:pPr>
      <w:r>
        <w:t>Сума будь-якого часткового списання запасів до їх чистої вартості реалізації та всі втрати запасів визнаються витратами періоду, в якому відбувається часткове списання або збиток. Зарахування сум уцінок до витрат, здійснюється за допомогою створення резерву (забезпечення) під знецінення запасів. Відновлення вартості раніше уцінених запасів відображається як зменшення витрат за тією статтею, на яку списують собівартість запасів.</w:t>
      </w:r>
    </w:p>
    <w:p w:rsidR="00761B0C" w:rsidRDefault="00494341">
      <w:pPr>
        <w:pStyle w:val="11"/>
        <w:spacing w:after="320"/>
        <w:jc w:val="both"/>
      </w:pPr>
      <w:r>
        <w:t>Для всіх одиниць бухгалтерського обліку запасів, що мають однакове призначення та однакові умови використання, застосовується обраний метод.</w:t>
      </w:r>
    </w:p>
    <w:p w:rsidR="00761B0C" w:rsidRDefault="00494341">
      <w:pPr>
        <w:pStyle w:val="11"/>
        <w:spacing w:after="320"/>
        <w:jc w:val="both"/>
      </w:pPr>
      <w:r>
        <w:t>Коли запаси реалізовані, їхня балансова вартість повинна визнаватися витратами періоду, в якому визнається відповідний дохід. Сума будь-якого часткового списання запасів до їх чистої вартості реалізації та всі втрати запасів повинні визнаватися витратами періоду, в якому відбувається часткове списання або збиток. Сума будь-якого сторнування будь-якого часткового списання запасів, що виникає в результаті збільшення чистої вартості реалізації, повинна визнаватися як зменшення суми запасів, визнаної як витрати в періоді, в якому відбулося сторнування.</w:t>
      </w:r>
    </w:p>
    <w:p w:rsidR="00761B0C" w:rsidRDefault="00494341">
      <w:pPr>
        <w:pStyle w:val="11"/>
        <w:spacing w:after="0"/>
        <w:jc w:val="both"/>
      </w:pPr>
      <w:r>
        <w:t xml:space="preserve">Вартість малоцінних швидкозношуваних предметів, що передані в експлуатацію, </w:t>
      </w:r>
      <w:r>
        <w:lastRenderedPageBreak/>
        <w:t>виключається зі складу активів (списується з балансу) з подальшою організацією кількісного обліку таких предметів за місцем експлуатації і відповідними особами протягом строку їх фактичного використання.</w:t>
      </w:r>
    </w:p>
    <w:p w:rsidR="00761B0C" w:rsidRDefault="00494341">
      <w:pPr>
        <w:pStyle w:val="11"/>
        <w:spacing w:after="640"/>
        <w:jc w:val="both"/>
      </w:pPr>
      <w:r>
        <w:t>Спецодяг, виданий під звіт працівникам, обліковувати на особових картках працівників протягом всього встановленого терміну його використання. Списання спецодягу, що знаходиться у підзвіті у працівника, до закінчення встановлених термінів його використання, здійснювати тільки на підставі актів про його непридатність. Зазначені акти здавати в бухгалтерію не пізніше 10 днів до закінчення звітного місяця.</w:t>
      </w:r>
    </w:p>
    <w:p w:rsidR="00761B0C" w:rsidRDefault="00494341">
      <w:pPr>
        <w:pStyle w:val="11"/>
        <w:spacing w:after="320"/>
        <w:jc w:val="both"/>
      </w:pPr>
      <w:r>
        <w:t>Готова продукція оприбутковується загальними сумами без розподілу.</w:t>
      </w:r>
    </w:p>
    <w:p w:rsidR="00761B0C" w:rsidRDefault="00494341">
      <w:pPr>
        <w:pStyle w:val="22"/>
        <w:keepNext/>
        <w:keepLines/>
        <w:numPr>
          <w:ilvl w:val="0"/>
          <w:numId w:val="11"/>
        </w:numPr>
        <w:tabs>
          <w:tab w:val="left" w:pos="1057"/>
        </w:tabs>
        <w:ind w:firstLine="600"/>
        <w:jc w:val="both"/>
      </w:pPr>
      <w:bookmarkStart w:id="13" w:name="bookmark26"/>
      <w:r>
        <w:t>Фінансові інструменти</w:t>
      </w:r>
      <w:bookmarkEnd w:id="13"/>
    </w:p>
    <w:p w:rsidR="00761B0C" w:rsidRDefault="00494341">
      <w:pPr>
        <w:pStyle w:val="11"/>
        <w:spacing w:after="0"/>
        <w:jc w:val="both"/>
      </w:pPr>
      <w:r>
        <w:rPr>
          <w:i/>
          <w:iCs/>
        </w:rPr>
        <w:t>Класифікація.</w:t>
      </w:r>
      <w:r>
        <w:t xml:space="preserve"> Фінансові активи класифікуються за такими категоріями:</w:t>
      </w:r>
    </w:p>
    <w:p w:rsidR="00761B0C" w:rsidRDefault="00494341">
      <w:pPr>
        <w:pStyle w:val="11"/>
        <w:numPr>
          <w:ilvl w:val="0"/>
          <w:numId w:val="13"/>
        </w:numPr>
        <w:tabs>
          <w:tab w:val="left" w:pos="951"/>
        </w:tabs>
        <w:spacing w:after="0"/>
        <w:ind w:firstLine="620"/>
        <w:jc w:val="both"/>
      </w:pPr>
      <w:r>
        <w:t>фінансові активи, оцінені за справедливою вартістю з відображенням результатів переоцінки як прибутку або збитку, окремо класифікуються на такі, що і) призначені такими при первісному визнанні та іі) такі, що обов'язково оцінюються за справедливою вартістю;</w:t>
      </w:r>
    </w:p>
    <w:p w:rsidR="00761B0C" w:rsidRDefault="00494341">
      <w:pPr>
        <w:pStyle w:val="11"/>
        <w:numPr>
          <w:ilvl w:val="0"/>
          <w:numId w:val="13"/>
        </w:numPr>
        <w:tabs>
          <w:tab w:val="left" w:pos="951"/>
        </w:tabs>
        <w:spacing w:after="0"/>
        <w:ind w:firstLine="620"/>
        <w:jc w:val="both"/>
      </w:pPr>
      <w:r>
        <w:t>фінансові активи, оцінені за справедливою вартістю з відображенням результату переоцінки у сукупному доході.</w:t>
      </w:r>
    </w:p>
    <w:p w:rsidR="00761B0C" w:rsidRDefault="00494341">
      <w:pPr>
        <w:pStyle w:val="11"/>
        <w:numPr>
          <w:ilvl w:val="0"/>
          <w:numId w:val="13"/>
        </w:numPr>
        <w:tabs>
          <w:tab w:val="left" w:pos="1537"/>
        </w:tabs>
        <w:spacing w:after="0"/>
        <w:ind w:firstLine="620"/>
        <w:jc w:val="both"/>
      </w:pPr>
      <w:r>
        <w:t>фінансові активи, оцінені за амортизованою собівартістю.</w:t>
      </w:r>
    </w:p>
    <w:p w:rsidR="00761B0C" w:rsidRDefault="00494341">
      <w:pPr>
        <w:pStyle w:val="11"/>
        <w:spacing w:after="0"/>
        <w:ind w:firstLine="620"/>
        <w:jc w:val="both"/>
      </w:pPr>
      <w:r>
        <w:t>Класифікація фінансових активів по категоріям здійснюється на основі обох таких критеріїв:</w:t>
      </w:r>
    </w:p>
    <w:p w:rsidR="00761B0C" w:rsidRDefault="00494341">
      <w:pPr>
        <w:pStyle w:val="11"/>
        <w:numPr>
          <w:ilvl w:val="0"/>
          <w:numId w:val="14"/>
        </w:numPr>
        <w:tabs>
          <w:tab w:val="left" w:pos="1004"/>
        </w:tabs>
        <w:spacing w:after="0"/>
        <w:ind w:firstLine="620"/>
        <w:jc w:val="both"/>
      </w:pPr>
      <w:r>
        <w:t>бізнес-моделі, що визначається управлінським персоналом товариства, який здійснює управління фінансовими активами Клієнта; та</w:t>
      </w:r>
    </w:p>
    <w:p w:rsidR="00761B0C" w:rsidRDefault="00494341">
      <w:pPr>
        <w:pStyle w:val="11"/>
        <w:numPr>
          <w:ilvl w:val="0"/>
          <w:numId w:val="14"/>
        </w:numPr>
        <w:tabs>
          <w:tab w:val="left" w:pos="1018"/>
        </w:tabs>
        <w:spacing w:after="320"/>
        <w:ind w:firstLine="620"/>
        <w:jc w:val="both"/>
      </w:pPr>
      <w:r>
        <w:t>установленими договором характеристиками грошових потоків за фінансовим активом.</w:t>
      </w:r>
    </w:p>
    <w:p w:rsidR="00761B0C" w:rsidRDefault="00494341">
      <w:pPr>
        <w:pStyle w:val="11"/>
        <w:spacing w:after="320"/>
        <w:jc w:val="both"/>
      </w:pPr>
      <w:r>
        <w:rPr>
          <w:i/>
          <w:iCs/>
        </w:rPr>
        <w:t>Визнання.</w:t>
      </w:r>
      <w:r>
        <w:t xml:space="preserve"> Визнання та припинення визнання звичайного придбання або продажу фінансових активів здійснюється з використанням обліку за датою операції. Датою операції - дата взяття на себе суб'єктом господарювання зобов'язання придбати або продати актив. Облік за датою операції передбачає (а) визнання активу до одержання та зобов'язання заплатити за нього на дату операції та (б) припинення визнання активу, який було продано, визнання </w:t>
      </w:r>
      <w:proofErr w:type="spellStart"/>
      <w:r>
        <w:t>будь-</w:t>
      </w:r>
      <w:proofErr w:type="spellEnd"/>
      <w:r>
        <w:t xml:space="preserve"> якого прибутку або збитку від вибуття та визнання дебіторської заборгованості з боку покупця щодо здійснення оплати на дату операції.</w:t>
      </w:r>
    </w:p>
    <w:p w:rsidR="00761B0C" w:rsidRDefault="00494341">
      <w:pPr>
        <w:pStyle w:val="11"/>
        <w:spacing w:after="320"/>
        <w:jc w:val="both"/>
      </w:pPr>
      <w:r>
        <w:rPr>
          <w:i/>
          <w:iCs/>
        </w:rPr>
        <w:t>Первісна оцінка.</w:t>
      </w:r>
      <w:r>
        <w:t xml:space="preserve"> Під час первісного визнання фінансовий актив оцінюється за його справедливою вартістю мінус витрати на операцію, що можуть бути безпосередньо віднесені на придбання або випуск фінансового активу.</w:t>
      </w:r>
    </w:p>
    <w:p w:rsidR="00761B0C" w:rsidRDefault="00494341">
      <w:pPr>
        <w:pStyle w:val="11"/>
        <w:spacing w:after="320"/>
        <w:jc w:val="both"/>
      </w:pPr>
      <w:r>
        <w:t>Торговельна дебіторська заборгованість під час первісного визнання оцінюється за ціною операції, якщо торговельна дебіторська заборгованість не містить значного компоненту фінансування. Якщо торговельна дебіторська заборгованість містить значний компонент фінансування, то Товариство коригує обіцяну суму компенсації з метою врахування часової вартості грошей, якщо терміни платежів, погоджені сторонами договору (явно або неявно), надають покупцям (замовникам) значну вигоду у фінансуванні передачі товарів, готової продукції або послуг.</w:t>
      </w:r>
    </w:p>
    <w:p w:rsidR="00761B0C" w:rsidRDefault="00494341">
      <w:pPr>
        <w:pStyle w:val="11"/>
        <w:spacing w:after="0"/>
        <w:jc w:val="both"/>
      </w:pPr>
      <w:r>
        <w:rPr>
          <w:i/>
          <w:iCs/>
        </w:rPr>
        <w:lastRenderedPageBreak/>
        <w:t>Подальша оцінка.</w:t>
      </w:r>
      <w:r>
        <w:t xml:space="preserve"> Після первісного визнання Товариство оцінює фінансові активи:</w:t>
      </w:r>
    </w:p>
    <w:p w:rsidR="00761B0C" w:rsidRDefault="00494341">
      <w:pPr>
        <w:pStyle w:val="11"/>
        <w:numPr>
          <w:ilvl w:val="0"/>
          <w:numId w:val="15"/>
        </w:numPr>
        <w:tabs>
          <w:tab w:val="left" w:pos="1042"/>
        </w:tabs>
        <w:spacing w:after="0"/>
        <w:ind w:firstLine="600"/>
        <w:jc w:val="both"/>
      </w:pPr>
      <w:r>
        <w:t>за амортизованою собівартістю;</w:t>
      </w:r>
    </w:p>
    <w:p w:rsidR="00761B0C" w:rsidRDefault="00494341">
      <w:pPr>
        <w:pStyle w:val="11"/>
        <w:numPr>
          <w:ilvl w:val="0"/>
          <w:numId w:val="15"/>
        </w:numPr>
        <w:tabs>
          <w:tab w:val="left" w:pos="1057"/>
        </w:tabs>
        <w:spacing w:after="0"/>
        <w:ind w:firstLine="600"/>
        <w:jc w:val="both"/>
      </w:pPr>
      <w:r>
        <w:t>за справедливою вартістю через інший сукупний дохід; або</w:t>
      </w:r>
    </w:p>
    <w:p w:rsidR="00761B0C" w:rsidRDefault="00494341">
      <w:pPr>
        <w:pStyle w:val="11"/>
        <w:numPr>
          <w:ilvl w:val="0"/>
          <w:numId w:val="15"/>
        </w:numPr>
        <w:tabs>
          <w:tab w:val="left" w:pos="1047"/>
        </w:tabs>
        <w:spacing w:after="320"/>
        <w:ind w:firstLine="600"/>
        <w:jc w:val="both"/>
      </w:pPr>
      <w:r>
        <w:t>за справедливою вартістю через прибуток або збиток.</w:t>
      </w:r>
    </w:p>
    <w:p w:rsidR="00761B0C" w:rsidRDefault="00494341">
      <w:pPr>
        <w:pStyle w:val="11"/>
        <w:spacing w:after="320"/>
        <w:jc w:val="both"/>
      </w:pPr>
      <w:r>
        <w:t>Розподіл здійснюється відповідно до двох критеріїв: характеристики договірних грошових потоків (чи є вони виключно виплатою основної суми боргу та відсотків на неї) та бізнес-моделі, яка застосовується до цих активів (утримуються активи для погашення чи для продажу, чи для обох цих цілей).</w:t>
      </w:r>
    </w:p>
    <w:p w:rsidR="00761B0C" w:rsidRDefault="00494341">
      <w:pPr>
        <w:pStyle w:val="11"/>
        <w:spacing w:after="0"/>
        <w:jc w:val="both"/>
      </w:pPr>
      <w:r>
        <w:t>Надані позики та дебіторська заборгованість, після первісного визнання дані фінансові активи обліковуються за амортизованою собівартістю, яка визначається із застосування ефективної ставки відсотка, за вирахуванням резерву під збитки в сумі очікуваного кредитного збитку за весь термін дії фінансового активу. Амортизована вартість розраховується з урахуванням дисконтів або премій при придбанні, а також комісійних або інших витрат, які є невід'ємною частиною ефективної процентної ставки. Амортизація на основі використання ефективної процентної ставки включається до складу фінансових доходів у звіті про сукупний дохід. Витрати, обумовлені знеціненням, визнаються в звіті про сукупний дохід у складі фінансових витрат.</w:t>
      </w:r>
    </w:p>
    <w:p w:rsidR="00761B0C" w:rsidRDefault="00494341">
      <w:pPr>
        <w:pStyle w:val="11"/>
        <w:spacing w:after="320"/>
        <w:jc w:val="both"/>
      </w:pPr>
      <w:r>
        <w:t>При наявності довгострокової (більше 12 місяців) грошової заборгованості станом на останній день року, дисконтування проводити на найближчу дату балансу із застосуванням облікової ставки НБУ на дату балансу, виходячи зі строку, що залишився до погашення. Різницю між оцінками теперішньої вартості списувати на витрати/ доходи.</w:t>
      </w:r>
    </w:p>
    <w:p w:rsidR="00761B0C" w:rsidRDefault="00494341">
      <w:pPr>
        <w:pStyle w:val="11"/>
        <w:spacing w:after="320"/>
        <w:jc w:val="both"/>
      </w:pPr>
      <w:r>
        <w:rPr>
          <w:i/>
          <w:iCs/>
        </w:rPr>
        <w:t>Зменшення корисності.</w:t>
      </w:r>
      <w:r>
        <w:t xml:space="preserve"> До фінансових активів, які оцінюються за амортизованою собівартістю та до фінансових активів, які оцінюються за справедливою вартістю через інший сукупний дохід застосовуються вимоги щодо зменшення корисності.</w:t>
      </w:r>
    </w:p>
    <w:p w:rsidR="00761B0C" w:rsidRDefault="00494341">
      <w:pPr>
        <w:pStyle w:val="11"/>
        <w:spacing w:after="320"/>
        <w:jc w:val="both"/>
      </w:pPr>
      <w:r>
        <w:t>Станом на кожну звітну дату Товариство визнає резерв під збитки за фінансовим інструментом у розмірі, що дорівнює очікуваним кредитним збиткам. Можливості настання кредитного збитку та можливості ненастанна кредитного збитку, очікується навіть якщо можливість настання кредитного збитку є малоймовірною. Сума визнаних очікуваних кредитних збитків (або сума для відновлення корисності активу), що є необхідною для коригування резерву під збитки станом на звітну дату, визнається як прибуток або збиток від зменшення (відновлення) корисності в прибутку або збитку.</w:t>
      </w:r>
    </w:p>
    <w:p w:rsidR="00761B0C" w:rsidRDefault="00494341">
      <w:pPr>
        <w:pStyle w:val="11"/>
        <w:spacing w:after="0"/>
        <w:jc w:val="both"/>
      </w:pPr>
      <w:r>
        <w:t>Оцінка очікуваних кредитних збитків враховує:</w:t>
      </w:r>
    </w:p>
    <w:p w:rsidR="00761B0C" w:rsidRDefault="00494341">
      <w:pPr>
        <w:pStyle w:val="11"/>
        <w:numPr>
          <w:ilvl w:val="0"/>
          <w:numId w:val="16"/>
        </w:numPr>
        <w:tabs>
          <w:tab w:val="left" w:pos="1004"/>
        </w:tabs>
        <w:spacing w:after="0"/>
        <w:ind w:firstLine="580"/>
        <w:jc w:val="both"/>
      </w:pPr>
      <w:r>
        <w:t>об'єктивну та зважену за ймовірністю суму, визначену шляхом оцінки певного діапазону можливих результатів;</w:t>
      </w:r>
    </w:p>
    <w:p w:rsidR="00761B0C" w:rsidRDefault="00494341">
      <w:pPr>
        <w:pStyle w:val="11"/>
        <w:numPr>
          <w:ilvl w:val="0"/>
          <w:numId w:val="16"/>
        </w:numPr>
        <w:tabs>
          <w:tab w:val="left" w:pos="1559"/>
        </w:tabs>
        <w:spacing w:after="0"/>
        <w:ind w:firstLine="580"/>
        <w:jc w:val="both"/>
      </w:pPr>
      <w:r>
        <w:t>часову вартість грошей; і</w:t>
      </w:r>
    </w:p>
    <w:p w:rsidR="00761B0C" w:rsidRDefault="00494341">
      <w:pPr>
        <w:pStyle w:val="11"/>
        <w:numPr>
          <w:ilvl w:val="0"/>
          <w:numId w:val="16"/>
        </w:numPr>
        <w:tabs>
          <w:tab w:val="left" w:pos="1009"/>
        </w:tabs>
        <w:spacing w:after="0"/>
        <w:ind w:firstLine="580"/>
        <w:jc w:val="both"/>
      </w:pPr>
      <w:r>
        <w:t>обґрунтовано необхідну та підтверджувану інформацію про минулі події, поточні умови та прогнози майбутніх економічних умов, що може бути одержана без надмірних витрат або зусиль станом на звітну дату.</w:t>
      </w:r>
    </w:p>
    <w:p w:rsidR="00761B0C" w:rsidRDefault="00494341">
      <w:pPr>
        <w:pStyle w:val="11"/>
        <w:spacing w:after="320"/>
        <w:jc w:val="both"/>
      </w:pPr>
      <w:r>
        <w:t>До торговельної дебіторської заборгованості, договірних активів та дебіторської заборгованості за орендою, які не містять значного компоненту фінансування, Товариство застосовує загальний підхід визнання очікуваних кредитних збитків за весь строк дії .</w:t>
      </w:r>
    </w:p>
    <w:p w:rsidR="00761B0C" w:rsidRDefault="00494341">
      <w:pPr>
        <w:pStyle w:val="11"/>
        <w:spacing w:after="320"/>
        <w:jc w:val="both"/>
      </w:pPr>
      <w:r>
        <w:lastRenderedPageBreak/>
        <w:t>Кредитні збитки від дебіторської заборгованості за продукцію, товари, роботи та послуги та іншої поточної дебіторської заборгованості визначається згідно з матрицею резервування. Матриця резервування основана на кількості днів прострочення активу з коригуванням на прогнозну інформацію.</w:t>
      </w:r>
    </w:p>
    <w:p w:rsidR="00761B0C" w:rsidRDefault="00494341">
      <w:pPr>
        <w:pStyle w:val="11"/>
        <w:spacing w:after="320"/>
        <w:jc w:val="both"/>
      </w:pPr>
      <w:r>
        <w:t>Майбутні грошові потоки в групі фінансових активів, що колективно оцінюються на предмет знецінення, розраховуються на основі передбачених договорами грошових потоків від активів та досвіду керівництва стосовне того, якою мірою ці суми стануть простроченими в результаті минулих збиткових подій і якою мірою такі прострочені суми можна буде відшкодувати. Попередній досвід коригується з урахуванням існуючих даних, що відображають вплив поточних умов, які не впливали на той період, на якому базується попередній досвід збитків, та вилучається вплив тих умов у попередньому періоді, які не існують на даний момент. Якщо умови знеціненого фінансового активу, що обліковується за амортизованою вартістю, переглядаються або іншим чином змінюються внаслідок фінансових труднощів позичальника чи емітента, знецінення такого активу оцінюється із використанням ефективної процентної ставки, яка застосовувалася до зміни його умов.</w:t>
      </w:r>
    </w:p>
    <w:p w:rsidR="00761B0C" w:rsidRDefault="00494341">
      <w:pPr>
        <w:pStyle w:val="11"/>
        <w:spacing w:after="320"/>
        <w:jc w:val="both"/>
      </w:pPr>
      <w:r>
        <w:t>Активи, погашення яких неможливе, списуються за рахунок відповідного резерву збитків від знецінення після завершення всіх необхідних процедур для відшкодування активу та після визначення остаточної суми збитку. Повернення (відшкодування) раніше списаних сум кредитується на рахунок відповідного резерву збитків від знецінення у прибутку чи збитку за рік.</w:t>
      </w:r>
    </w:p>
    <w:p w:rsidR="00761B0C" w:rsidRDefault="00494341">
      <w:pPr>
        <w:pStyle w:val="11"/>
        <w:spacing w:after="320"/>
        <w:jc w:val="both"/>
      </w:pPr>
      <w:r>
        <w:rPr>
          <w:i/>
          <w:iCs/>
        </w:rPr>
        <w:t>Припинення визнання.</w:t>
      </w:r>
      <w:r>
        <w:t xml:space="preserve"> Припинення визнання фінансового активу здійснюється лише тоді, коли:</w:t>
      </w:r>
    </w:p>
    <w:p w:rsidR="00761B0C" w:rsidRDefault="00494341">
      <w:pPr>
        <w:pStyle w:val="11"/>
        <w:numPr>
          <w:ilvl w:val="0"/>
          <w:numId w:val="17"/>
        </w:numPr>
        <w:tabs>
          <w:tab w:val="left" w:pos="1056"/>
        </w:tabs>
        <w:spacing w:after="0"/>
        <w:ind w:firstLine="580"/>
        <w:jc w:val="both"/>
      </w:pPr>
      <w:r>
        <w:t>спливає строк дії договірних прав на грошові потоки від такого фінансового активу; або</w:t>
      </w:r>
    </w:p>
    <w:p w:rsidR="00761B0C" w:rsidRDefault="00494341">
      <w:pPr>
        <w:pStyle w:val="11"/>
        <w:numPr>
          <w:ilvl w:val="0"/>
          <w:numId w:val="17"/>
        </w:numPr>
        <w:tabs>
          <w:tab w:val="left" w:pos="1056"/>
        </w:tabs>
        <w:spacing w:after="320"/>
        <w:ind w:firstLine="580"/>
        <w:jc w:val="both"/>
      </w:pPr>
      <w:r>
        <w:t>Товариство передає фінансовий актив і таке передавання відповідає критеріям для припинення визнання.</w:t>
      </w:r>
    </w:p>
    <w:p w:rsidR="00761B0C" w:rsidRDefault="00494341">
      <w:pPr>
        <w:pStyle w:val="11"/>
        <w:spacing w:after="320"/>
        <w:jc w:val="both"/>
      </w:pPr>
      <w:r>
        <w:rPr>
          <w:i/>
          <w:iCs/>
        </w:rPr>
        <w:t>Використання справедливої вартості</w:t>
      </w:r>
    </w:p>
    <w:p w:rsidR="00761B0C" w:rsidRDefault="00494341">
      <w:pPr>
        <w:pStyle w:val="11"/>
        <w:spacing w:after="320"/>
        <w:jc w:val="both"/>
      </w:pPr>
      <w:r>
        <w:t>Розрахункова справедлива вартість фінансових інструментів визначається з урахуванням різної ринкової інформації та відповідних методик оцінки. Однак для проведення такої оцінки необхідно обґрунтоване судження при тлумаченні ринкової інформації. Відповідно, такі оцінки не завжди виражають суми, які Товариство може отримати в існуючій ринковій ситуації. Балансова вартість грошових коштів та їх еквівалентів, торгової та іншої дебіторської та кредиторської заборгованості майже дорівнює їх</w:t>
      </w:r>
    </w:p>
    <w:p w:rsidR="00761B0C" w:rsidRDefault="00494341">
      <w:pPr>
        <w:pStyle w:val="11"/>
        <w:spacing w:after="0"/>
        <w:ind w:firstLine="180"/>
        <w:jc w:val="both"/>
      </w:pPr>
      <w:r>
        <w:rPr>
          <w:i/>
          <w:iCs/>
        </w:rPr>
        <w:t>Облік дебіторської заборгованості</w:t>
      </w:r>
    </w:p>
    <w:p w:rsidR="00761B0C" w:rsidRDefault="00494341">
      <w:pPr>
        <w:pStyle w:val="11"/>
        <w:spacing w:after="0"/>
        <w:jc w:val="both"/>
      </w:pPr>
      <w:r>
        <w:t xml:space="preserve">Облік дебіторської заборгованості </w:t>
      </w:r>
      <w:r>
        <w:rPr>
          <w:i/>
          <w:iCs/>
        </w:rPr>
        <w:t>підприємства</w:t>
      </w:r>
      <w:r>
        <w:t xml:space="preserve"> передбачає визнання довгострокової і поточної торговельної та іншої дебіторської заборгованості, а також нарахування резерву сумнівних боргів.</w:t>
      </w:r>
    </w:p>
    <w:p w:rsidR="00761B0C" w:rsidRDefault="00494341">
      <w:pPr>
        <w:pStyle w:val="11"/>
        <w:spacing w:after="0"/>
        <w:jc w:val="both"/>
      </w:pPr>
      <w:r>
        <w:t xml:space="preserve">Даний розділ базується на нормах, визначених в МСБО 1 «Подання фінансової звітності», МСБО 32 «Фінансові інструменти: подання», МСФЗ 9 «Фінансові інструменти», МСФЗ 7 «Фінансові інструменти: розкриття інформації», МСФЗ 15 </w:t>
      </w:r>
      <w:r>
        <w:lastRenderedPageBreak/>
        <w:t>«Дохід від договорів з клієнтами».</w:t>
      </w:r>
    </w:p>
    <w:p w:rsidR="00761B0C" w:rsidRDefault="00494341">
      <w:pPr>
        <w:pStyle w:val="11"/>
        <w:spacing w:after="320"/>
        <w:jc w:val="both"/>
      </w:pPr>
      <w:r>
        <w:t>При наявності довгострокової (більше 12 місяців) грошової заборгованості станом на останній день року, дисконтування проводити на найближчу дату балансу із застосуванням облікової ставки НБУ на дату балансу, виходячи зі строку, що залишився до погашення. Різницю між оцінками теперішньої вартості списувати на витрати/ доходи.</w:t>
      </w:r>
    </w:p>
    <w:p w:rsidR="00761B0C" w:rsidRDefault="00494341">
      <w:pPr>
        <w:pStyle w:val="11"/>
        <w:spacing w:after="0"/>
        <w:ind w:firstLine="200"/>
        <w:jc w:val="both"/>
      </w:pPr>
      <w:r>
        <w:rPr>
          <w:i/>
          <w:iCs/>
        </w:rPr>
        <w:t>Амортизована собівартість фінансового активу (МСФЗ 9).</w:t>
      </w:r>
    </w:p>
    <w:p w:rsidR="00761B0C" w:rsidRDefault="00494341">
      <w:pPr>
        <w:pStyle w:val="11"/>
        <w:spacing w:after="0"/>
        <w:ind w:firstLine="200"/>
        <w:jc w:val="both"/>
      </w:pPr>
      <w:r>
        <w:t>Фінансовий актив оцінюють за амортизованою собівартістю, якщо виконуються обидві такі умови:</w:t>
      </w:r>
    </w:p>
    <w:p w:rsidR="00761B0C" w:rsidRDefault="00494341">
      <w:pPr>
        <w:pStyle w:val="11"/>
        <w:numPr>
          <w:ilvl w:val="0"/>
          <w:numId w:val="18"/>
        </w:numPr>
        <w:tabs>
          <w:tab w:val="left" w:pos="490"/>
        </w:tabs>
        <w:spacing w:after="0"/>
        <w:ind w:firstLine="200"/>
        <w:jc w:val="both"/>
      </w:pPr>
      <w:r>
        <w:t>актив утримують в моделі бізнесу, мета якої - утримування активів задля збирання контрактних грошових потоків;</w:t>
      </w:r>
    </w:p>
    <w:p w:rsidR="00761B0C" w:rsidRDefault="00494341">
      <w:pPr>
        <w:pStyle w:val="11"/>
        <w:numPr>
          <w:ilvl w:val="0"/>
          <w:numId w:val="18"/>
        </w:numPr>
        <w:tabs>
          <w:tab w:val="left" w:pos="500"/>
        </w:tabs>
        <w:spacing w:after="0"/>
        <w:ind w:firstLine="200"/>
        <w:jc w:val="both"/>
      </w:pPr>
      <w:r>
        <w:t>контрактні умови фінансового активу передбачають у певні дати надходження грошових потоків, які є лише погашенням основної суми та сплатою відсотків на непогашену основну суму.</w:t>
      </w:r>
    </w:p>
    <w:p w:rsidR="00761B0C" w:rsidRDefault="00494341">
      <w:pPr>
        <w:pStyle w:val="11"/>
        <w:spacing w:after="0"/>
        <w:ind w:firstLine="200"/>
        <w:jc w:val="both"/>
      </w:pPr>
      <w:r>
        <w:t>Відсоток - це компенсація часової вартості грошей і кредитного ризику, пов'язаного з непогашеною основною сумою, протягом певного періоду часу.</w:t>
      </w:r>
    </w:p>
    <w:p w:rsidR="00761B0C" w:rsidRDefault="00494341">
      <w:pPr>
        <w:pStyle w:val="11"/>
        <w:spacing w:after="0"/>
        <w:ind w:firstLine="200"/>
        <w:jc w:val="both"/>
      </w:pPr>
      <w:r>
        <w:t>Фінансовий актив оцінюють за справедливою вартістю, окрім випадків, коли його оцінюють за амортизованою собівартістю відповідно зазначених вище пунктів а) та б).</w:t>
      </w:r>
    </w:p>
    <w:p w:rsidR="00761B0C" w:rsidRDefault="00494341">
      <w:pPr>
        <w:pStyle w:val="11"/>
        <w:spacing w:after="0"/>
        <w:ind w:firstLine="200"/>
        <w:jc w:val="both"/>
      </w:pPr>
      <w:r>
        <w:t xml:space="preserve">Товариство може при первісному визнанні </w:t>
      </w:r>
      <w:proofErr w:type="spellStart"/>
      <w:r>
        <w:t>нескасовно</w:t>
      </w:r>
      <w:proofErr w:type="spellEnd"/>
      <w:r>
        <w:t xml:space="preserve"> призначити фінансовий актив як такий, що оцінюється за справедливою вартістю з відображенням результату переоцінки у прибутку або збитку, якщо таке призначення усуває або значно зменшує невідповідність оцінки чи визнання (яку інколи називають "неузгодженістю обліку"), що інакше виникне внаслідок оцінювання активів або зобов'язань чи визнання прибутків або збитків за ними на різних підставах.</w:t>
      </w:r>
    </w:p>
    <w:p w:rsidR="00761B0C" w:rsidRDefault="00494341">
      <w:pPr>
        <w:pStyle w:val="11"/>
        <w:spacing w:after="0"/>
        <w:jc w:val="both"/>
      </w:pPr>
      <w:r>
        <w:rPr>
          <w:i/>
          <w:iCs/>
        </w:rPr>
        <w:t>Визнання дебіторської заборгованості.</w:t>
      </w:r>
    </w:p>
    <w:p w:rsidR="00761B0C" w:rsidRDefault="00494341">
      <w:pPr>
        <w:pStyle w:val="11"/>
        <w:spacing w:after="0"/>
        <w:jc w:val="both"/>
      </w:pPr>
      <w:r>
        <w:t>Дебіторська заборгованість визнається активом, якщо відповідає двом наступним критеріям:</w:t>
      </w:r>
    </w:p>
    <w:p w:rsidR="00602B26" w:rsidRDefault="00494341">
      <w:pPr>
        <w:pStyle w:val="11"/>
        <w:spacing w:after="0"/>
        <w:ind w:left="580" w:firstLine="20"/>
        <w:jc w:val="both"/>
        <w:rPr>
          <w:lang w:val="en-US"/>
        </w:rPr>
      </w:pPr>
      <w:r>
        <w:t xml:space="preserve">а) існує ймовірність отримання Товариством майбутніх економічних вигід; </w:t>
      </w:r>
    </w:p>
    <w:p w:rsidR="00761B0C" w:rsidRDefault="00494341">
      <w:pPr>
        <w:pStyle w:val="11"/>
        <w:spacing w:after="0"/>
        <w:ind w:left="580" w:firstLine="20"/>
        <w:jc w:val="both"/>
      </w:pPr>
      <w:r>
        <w:t>б) вартість дебіторської заборгованості може бути достовірно визначена.</w:t>
      </w:r>
    </w:p>
    <w:p w:rsidR="00761B0C" w:rsidRDefault="00494341">
      <w:pPr>
        <w:pStyle w:val="11"/>
        <w:spacing w:after="0"/>
        <w:jc w:val="both"/>
      </w:pPr>
      <w:r>
        <w:t>Товариством до складу поточної дебіторської заборгованості віднесено:</w:t>
      </w:r>
    </w:p>
    <w:p w:rsidR="00761B0C" w:rsidRDefault="00494341">
      <w:pPr>
        <w:pStyle w:val="11"/>
        <w:numPr>
          <w:ilvl w:val="0"/>
          <w:numId w:val="19"/>
        </w:numPr>
        <w:tabs>
          <w:tab w:val="left" w:pos="1310"/>
        </w:tabs>
        <w:spacing w:after="0"/>
        <w:ind w:left="1300" w:hanging="340"/>
        <w:jc w:val="both"/>
      </w:pPr>
      <w:r>
        <w:t>торговельну дебіторську заборгованість, зокрема дебіторську заборгованість за товари, роботи, послуги (облік ведеться на відповідних субрахунках рахунку 36 «Розрахунки з покупцями та замовниками» у розрізі наступних субрахунків;</w:t>
      </w:r>
    </w:p>
    <w:p w:rsidR="00761B0C" w:rsidRDefault="00494341">
      <w:pPr>
        <w:pStyle w:val="11"/>
        <w:numPr>
          <w:ilvl w:val="0"/>
          <w:numId w:val="19"/>
        </w:numPr>
        <w:tabs>
          <w:tab w:val="left" w:pos="1310"/>
        </w:tabs>
        <w:spacing w:after="320"/>
        <w:ind w:left="1300" w:hanging="340"/>
        <w:jc w:val="both"/>
      </w:pPr>
      <w:r>
        <w:t>дебіторську заборгованість за виданими авансами (облік ведеться на субрахунку 371 «Розрахунки за виданими авансами»;</w:t>
      </w:r>
    </w:p>
    <w:p w:rsidR="00761B0C" w:rsidRDefault="00494341">
      <w:pPr>
        <w:pStyle w:val="11"/>
        <w:spacing w:after="320"/>
        <w:jc w:val="both"/>
      </w:pPr>
      <w:r>
        <w:t>Торговельна дебіторська заборгованість під час первісного визнання оцінюється за ціною операції, якщо торговельна дебіторська заборгованість не містить значного компоненту фінансування. Якщо торговельна дебіторська заборгованість містить значний компонент фінансування, то Товариство коригує обіцяну суму компенсації з метою врахування часової вартості грошей, якщо терміни платежів, погоджені сторонами договору (явно або неявно), надають покупцям (замовникам) значну вигоду у фінансуванні передачі товарів, готової продукції або послуг.</w:t>
      </w:r>
    </w:p>
    <w:p w:rsidR="00761B0C" w:rsidRDefault="00494341">
      <w:pPr>
        <w:pStyle w:val="11"/>
        <w:spacing w:after="0"/>
        <w:jc w:val="both"/>
      </w:pPr>
      <w:r>
        <w:t>Після первісного визнання Товариство оцінює фінансові активи:</w:t>
      </w:r>
    </w:p>
    <w:p w:rsidR="00761B0C" w:rsidRDefault="00494341">
      <w:pPr>
        <w:pStyle w:val="11"/>
        <w:numPr>
          <w:ilvl w:val="0"/>
          <w:numId w:val="20"/>
        </w:numPr>
        <w:tabs>
          <w:tab w:val="left" w:pos="1033"/>
        </w:tabs>
        <w:spacing w:after="0"/>
        <w:ind w:firstLine="600"/>
        <w:jc w:val="both"/>
      </w:pPr>
      <w:r>
        <w:t>за амортизованою собівартістю;</w:t>
      </w:r>
    </w:p>
    <w:p w:rsidR="00761B0C" w:rsidRDefault="00494341">
      <w:pPr>
        <w:pStyle w:val="11"/>
        <w:numPr>
          <w:ilvl w:val="0"/>
          <w:numId w:val="20"/>
        </w:numPr>
        <w:tabs>
          <w:tab w:val="left" w:pos="1057"/>
        </w:tabs>
        <w:spacing w:after="0"/>
        <w:ind w:firstLine="600"/>
        <w:jc w:val="both"/>
      </w:pPr>
      <w:r>
        <w:lastRenderedPageBreak/>
        <w:t>за справедливою вартістю через інший сукупний дохід; або</w:t>
      </w:r>
    </w:p>
    <w:p w:rsidR="00761B0C" w:rsidRDefault="00494341">
      <w:pPr>
        <w:pStyle w:val="11"/>
        <w:numPr>
          <w:ilvl w:val="0"/>
          <w:numId w:val="20"/>
        </w:numPr>
        <w:tabs>
          <w:tab w:val="left" w:pos="1047"/>
        </w:tabs>
        <w:spacing w:after="0"/>
        <w:ind w:firstLine="600"/>
        <w:jc w:val="both"/>
      </w:pPr>
      <w:r>
        <w:t>за справедливою вартістю через прибуток або збиток.</w:t>
      </w:r>
    </w:p>
    <w:p w:rsidR="00761B0C" w:rsidRDefault="00494341">
      <w:pPr>
        <w:pStyle w:val="11"/>
        <w:spacing w:after="320"/>
        <w:ind w:firstLine="600"/>
        <w:jc w:val="both"/>
      </w:pPr>
      <w:r>
        <w:t>Розподіл здійснюється відповідно до двох критеріїв: характеристики договірних грошових потоків (чи є вони виключно виплатою основної суми боргу та відсотків на неї) та бізнес-моделі, яка застосовується до цих активів (утримуються активи для погашення чи для продажу, чи для обох цих цілей).</w:t>
      </w:r>
    </w:p>
    <w:p w:rsidR="00761B0C" w:rsidRDefault="00494341">
      <w:pPr>
        <w:pStyle w:val="11"/>
        <w:spacing w:after="320"/>
        <w:jc w:val="both"/>
      </w:pPr>
      <w:r>
        <w:t>Надані позики та дебіторська заборгованість, після первісного визнання дані фінансові активи обліковуються за амортизованою собівартістю, яка визначається із застосування ефективної ставки відсотка, за вирахуванням резерву під збитки в сумі очікуваного кредитного збитку за весь термін дії фінансового активу. Амортизована вартість розраховується з урахуванням дисконтів або премій при придбанні, а також комісійних або інших витрат, які є невід'ємною частиною ефективної процентної ставки. Амортизація на основі використання ефективної процентної ставки включається до складу фінансових доходів у звіті про сукупний дохід. Витрати, обумовлені знеціненням, визнаються в звіті про сукупний дохід у складі фінансових витрат.</w:t>
      </w:r>
    </w:p>
    <w:p w:rsidR="00761B0C" w:rsidRDefault="00494341">
      <w:pPr>
        <w:pStyle w:val="11"/>
        <w:spacing w:after="320"/>
        <w:jc w:val="both"/>
      </w:pPr>
      <w:r>
        <w:t>Боргові цінні папери (ОВДП, векселі, облігації інших підприємств та банків), які можуть бути продані в будь-який момент за сприятливих обставин, обліковуються по справедливій вартості через прибутки або збитки, якщо утримуються про всяк випадок, можуть триматись до погашення, або можуть бути продані, якщо виникне потреба, обліковуються за справедливою вартістю через сукупний дохід, якщо боргові цінні папери є альтернативою банківського депозиту, то оцінюються за амортизованою вартістю.</w:t>
      </w:r>
    </w:p>
    <w:p w:rsidR="00761B0C" w:rsidRDefault="00494341">
      <w:pPr>
        <w:pStyle w:val="11"/>
        <w:spacing w:after="0"/>
        <w:jc w:val="both"/>
      </w:pPr>
      <w:r>
        <w:t>Інструменти капіталу (акції в приватних та публічних товариствах та частки в товариствах з обмеженою відповідальністю, паї інвестиційних фондів тощо) обліковуються по справедливій вартості через прибутки або збитки. Дебіторська заборгованість - це право суб’єкта господарювання на компенсацію, яке є безумовним. Право на компенсацію є безумовним, якщо для того, щоб настала дата сплати такої компенсації, необхідний лише плин часу. Суб’єкт господарювання обліковує дебіторську заборгованість відповідно до МСФЗ 9. Після первісного визнання дебіторської заборгованості внаслідок договору з клієнтом будь-яка різниця між оцінкою дебіторської заборгованості відповідно до МСФЗ 9 та відповідної визнаної суми доходу слід подавати як витрати (наприклад, як збиток від зменшення корисності).</w:t>
      </w:r>
    </w:p>
    <w:p w:rsidR="00761B0C" w:rsidRDefault="00494341">
      <w:pPr>
        <w:pStyle w:val="11"/>
        <w:spacing w:after="320"/>
        <w:jc w:val="both"/>
      </w:pPr>
      <w:r>
        <w:t>Термін існування дебіторської заборгованості до якої необхідно застосовувати норми дисконтування, відповідно до чинних норм міжнародного та вітчизняного законодавства, має перевищувати 1 рік, що дозволяє класифікувати її як довгострокову дебіторську заборгованість.</w:t>
      </w:r>
    </w:p>
    <w:p w:rsidR="00761B0C" w:rsidRDefault="00494341">
      <w:pPr>
        <w:pStyle w:val="11"/>
        <w:spacing w:after="320"/>
        <w:jc w:val="both"/>
      </w:pPr>
      <w:r>
        <w:t>У випадку, якщо Товариство не зберегло всі ризики та винагороди від володіння активом, треба буде обчислювати та порівнювати рівень ризику для суб'єкта господарювання від змінюваності теперішньої вартості майбутніх чистих грошових потоків до і після передачі. Обчислюють та порівнюють із застосуванням відповідної поточної ринкової ставки відсотка як ставки дисконту. Розглядається вся обґрунтовано можлива змінюваність чистих грошових потоків, причому більша вага надається тим кінцевим результатам, імовірність яких є вищою</w:t>
      </w:r>
    </w:p>
    <w:p w:rsidR="00761B0C" w:rsidRDefault="00494341">
      <w:pPr>
        <w:pStyle w:val="11"/>
        <w:spacing w:after="320"/>
        <w:jc w:val="both"/>
      </w:pPr>
      <w:r>
        <w:lastRenderedPageBreak/>
        <w:t>До фінансових активів, які оцінюються за амортизованою собівартістю та до фінансових активів, які оцінюються за справедливою вартістю через інший сукупний дохід застосовуються вимоги щодо зменшення корисності.</w:t>
      </w:r>
    </w:p>
    <w:p w:rsidR="00761B0C" w:rsidRDefault="00494341">
      <w:pPr>
        <w:pStyle w:val="11"/>
        <w:spacing w:after="320"/>
        <w:jc w:val="both"/>
      </w:pPr>
      <w:r>
        <w:t>Станом на кожну звітну дату Товариство визнає резерв під збитки за фінансовим інструментом у розмірі, що дорівнює очікуваним кредитним збиткам. Можливості настання кредитного збитку та можливості ненастання кредитного збитку, очікується навіть якщо можливість настання кредитного збитку є малоймовірною. Сума визнаних очікуваних кредитних збитків (або сума для відновлення корисності активу), що є необхідною для коригування резерву під збитки станом на звітну дату, визнається як прибуток або збиток від зменшення (відновлення) корисності в прибутку або збитку.</w:t>
      </w:r>
    </w:p>
    <w:p w:rsidR="00761B0C" w:rsidRDefault="00494341">
      <w:pPr>
        <w:pStyle w:val="11"/>
        <w:spacing w:after="0"/>
        <w:jc w:val="both"/>
      </w:pPr>
      <w:r>
        <w:t>Оцінка очікуваних кредитних збитків враховує:</w:t>
      </w:r>
    </w:p>
    <w:p w:rsidR="00761B0C" w:rsidRDefault="00494341">
      <w:pPr>
        <w:pStyle w:val="11"/>
        <w:numPr>
          <w:ilvl w:val="0"/>
          <w:numId w:val="21"/>
        </w:numPr>
        <w:tabs>
          <w:tab w:val="left" w:pos="1143"/>
        </w:tabs>
        <w:spacing w:after="0"/>
        <w:ind w:firstLine="820"/>
        <w:jc w:val="both"/>
      </w:pPr>
      <w:r>
        <w:t>об'єктивну та зважену за ймовірністю суму, визначену шляхом оцінки певного діапазону можливих результатів;</w:t>
      </w:r>
    </w:p>
    <w:p w:rsidR="00761B0C" w:rsidRDefault="00494341">
      <w:pPr>
        <w:pStyle w:val="11"/>
        <w:numPr>
          <w:ilvl w:val="0"/>
          <w:numId w:val="21"/>
        </w:numPr>
        <w:tabs>
          <w:tab w:val="left" w:pos="1924"/>
        </w:tabs>
        <w:spacing w:after="0"/>
        <w:ind w:firstLine="820"/>
        <w:jc w:val="both"/>
      </w:pPr>
      <w:r>
        <w:t>часову вартість грошей; і</w:t>
      </w:r>
    </w:p>
    <w:p w:rsidR="00761B0C" w:rsidRDefault="00494341">
      <w:pPr>
        <w:pStyle w:val="11"/>
        <w:numPr>
          <w:ilvl w:val="0"/>
          <w:numId w:val="21"/>
        </w:numPr>
        <w:tabs>
          <w:tab w:val="left" w:pos="1153"/>
        </w:tabs>
        <w:spacing w:after="320"/>
        <w:ind w:firstLine="820"/>
        <w:jc w:val="both"/>
      </w:pPr>
      <w:r>
        <w:t>обґрунтовано необхідну та підтверджувану інформацію про минулі події, поточні умови та прогнози майбутніх економічних умов, що може бути одержана без надмірних витрат або зусиль станом на звітну дату.</w:t>
      </w:r>
    </w:p>
    <w:p w:rsidR="00761B0C" w:rsidRDefault="00494341">
      <w:pPr>
        <w:pStyle w:val="11"/>
        <w:spacing w:after="300"/>
        <w:jc w:val="both"/>
      </w:pPr>
      <w:r>
        <w:t>До торговельної дебіторської заборгованості, договірних активів та дебіторської заборгованості за орендою, які не містять значного компоненту фінансування, Товариство застосовує спрощений підхід до визнання очікуваних кредитних збитків за весь строк дії .</w:t>
      </w:r>
    </w:p>
    <w:p w:rsidR="00761B0C" w:rsidRDefault="00494341">
      <w:pPr>
        <w:pStyle w:val="11"/>
        <w:spacing w:after="0"/>
        <w:jc w:val="both"/>
      </w:pPr>
      <w:r>
        <w:t xml:space="preserve">Оцінку торговельної дебіторської заборгованості Товариство здійснює з урахуванням терміну </w:t>
      </w:r>
      <w:proofErr w:type="spellStart"/>
      <w:r>
        <w:t>прострочки</w:t>
      </w:r>
      <w:proofErr w:type="spellEnd"/>
      <w:r>
        <w:t xml:space="preserve"> заборгованості та історичних даних щодо втрат застосовуючи наступні коефіцієнти до суми простроченої заборгованості відповідної категорії за днями (представлені в таблиці 1).</w:t>
      </w:r>
    </w:p>
    <w:p w:rsidR="00761B0C" w:rsidRDefault="00494341">
      <w:pPr>
        <w:pStyle w:val="11"/>
        <w:spacing w:after="0"/>
        <w:jc w:val="right"/>
      </w:pPr>
      <w:r>
        <w:t>Таблиця 1</w:t>
      </w:r>
    </w:p>
    <w:p w:rsidR="00761B0C" w:rsidRDefault="00494341">
      <w:pPr>
        <w:pStyle w:val="a5"/>
        <w:ind w:left="802"/>
      </w:pPr>
      <w:r>
        <w:rPr>
          <w:i/>
          <w:iCs/>
        </w:rPr>
        <w:t>Коефіцієнти імовірності непогашення дебіторської заборгованості</w:t>
      </w:r>
    </w:p>
    <w:tbl>
      <w:tblPr>
        <w:tblOverlap w:val="never"/>
        <w:tblW w:w="0" w:type="auto"/>
        <w:jc w:val="center"/>
        <w:tblLayout w:type="fixed"/>
        <w:tblCellMar>
          <w:left w:w="10" w:type="dxa"/>
          <w:right w:w="10" w:type="dxa"/>
        </w:tblCellMar>
        <w:tblLook w:val="04A0"/>
      </w:tblPr>
      <w:tblGrid>
        <w:gridCol w:w="3600"/>
        <w:gridCol w:w="1992"/>
        <w:gridCol w:w="2117"/>
        <w:gridCol w:w="1858"/>
      </w:tblGrid>
      <w:tr w:rsidR="00761B0C">
        <w:trPr>
          <w:trHeight w:hRule="exact" w:val="994"/>
          <w:jc w:val="center"/>
        </w:trPr>
        <w:tc>
          <w:tcPr>
            <w:tcW w:w="3600" w:type="dxa"/>
            <w:vMerge w:val="restart"/>
            <w:tcBorders>
              <w:top w:val="single" w:sz="4" w:space="0" w:color="auto"/>
              <w:left w:val="single" w:sz="4" w:space="0" w:color="auto"/>
            </w:tcBorders>
            <w:shd w:val="clear" w:color="auto" w:fill="auto"/>
          </w:tcPr>
          <w:p w:rsidR="00761B0C" w:rsidRDefault="00494341">
            <w:pPr>
              <w:pStyle w:val="a7"/>
              <w:spacing w:after="0"/>
            </w:pPr>
            <w:r>
              <w:rPr>
                <w:b/>
                <w:bCs/>
              </w:rPr>
              <w:t>Категорія заборгованості</w:t>
            </w:r>
          </w:p>
        </w:tc>
        <w:tc>
          <w:tcPr>
            <w:tcW w:w="4109" w:type="dxa"/>
            <w:gridSpan w:val="2"/>
            <w:tcBorders>
              <w:top w:val="single" w:sz="4" w:space="0" w:color="auto"/>
              <w:left w:val="single" w:sz="4" w:space="0" w:color="auto"/>
            </w:tcBorders>
            <w:shd w:val="clear" w:color="auto" w:fill="auto"/>
            <w:vAlign w:val="bottom"/>
          </w:tcPr>
          <w:p w:rsidR="00761B0C" w:rsidRDefault="00494341">
            <w:pPr>
              <w:pStyle w:val="a7"/>
              <w:spacing w:after="0"/>
              <w:jc w:val="center"/>
            </w:pPr>
            <w:r>
              <w:rPr>
                <w:b/>
                <w:bCs/>
              </w:rPr>
              <w:t>Кількість днів з моменту виникнення або прострочення заборгованості</w:t>
            </w:r>
          </w:p>
        </w:tc>
        <w:tc>
          <w:tcPr>
            <w:tcW w:w="1858" w:type="dxa"/>
            <w:vMerge w:val="restart"/>
            <w:tcBorders>
              <w:top w:val="single" w:sz="4" w:space="0" w:color="auto"/>
              <w:left w:val="single" w:sz="4" w:space="0" w:color="auto"/>
              <w:right w:val="single" w:sz="4" w:space="0" w:color="auto"/>
            </w:tcBorders>
            <w:shd w:val="clear" w:color="auto" w:fill="auto"/>
          </w:tcPr>
          <w:p w:rsidR="00761B0C" w:rsidRDefault="00494341">
            <w:pPr>
              <w:pStyle w:val="a7"/>
              <w:spacing w:after="0"/>
              <w:jc w:val="center"/>
            </w:pPr>
            <w:r>
              <w:rPr>
                <w:b/>
                <w:bCs/>
              </w:rPr>
              <w:t>Рівень знецінення, %</w:t>
            </w:r>
          </w:p>
        </w:tc>
      </w:tr>
      <w:tr w:rsidR="00761B0C">
        <w:trPr>
          <w:trHeight w:hRule="exact" w:val="336"/>
          <w:jc w:val="center"/>
        </w:trPr>
        <w:tc>
          <w:tcPr>
            <w:tcW w:w="3600" w:type="dxa"/>
            <w:vMerge/>
            <w:tcBorders>
              <w:left w:val="single" w:sz="4" w:space="0" w:color="auto"/>
            </w:tcBorders>
            <w:shd w:val="clear" w:color="auto" w:fill="auto"/>
          </w:tcPr>
          <w:p w:rsidR="00761B0C" w:rsidRDefault="00761B0C"/>
        </w:tc>
        <w:tc>
          <w:tcPr>
            <w:tcW w:w="1992" w:type="dxa"/>
            <w:tcBorders>
              <w:top w:val="single" w:sz="4" w:space="0" w:color="auto"/>
              <w:left w:val="single" w:sz="4" w:space="0" w:color="auto"/>
            </w:tcBorders>
            <w:shd w:val="clear" w:color="auto" w:fill="auto"/>
            <w:vAlign w:val="bottom"/>
          </w:tcPr>
          <w:p w:rsidR="00761B0C" w:rsidRDefault="00494341">
            <w:pPr>
              <w:pStyle w:val="a7"/>
              <w:spacing w:after="0"/>
              <w:jc w:val="center"/>
            </w:pPr>
            <w:r>
              <w:rPr>
                <w:b/>
                <w:bCs/>
              </w:rPr>
              <w:t>виникнення</w:t>
            </w:r>
          </w:p>
        </w:tc>
        <w:tc>
          <w:tcPr>
            <w:tcW w:w="2117" w:type="dxa"/>
            <w:tcBorders>
              <w:top w:val="single" w:sz="4" w:space="0" w:color="auto"/>
              <w:left w:val="single" w:sz="4" w:space="0" w:color="auto"/>
            </w:tcBorders>
            <w:shd w:val="clear" w:color="auto" w:fill="auto"/>
            <w:vAlign w:val="bottom"/>
          </w:tcPr>
          <w:p w:rsidR="00761B0C" w:rsidRDefault="00494341">
            <w:pPr>
              <w:pStyle w:val="a7"/>
              <w:spacing w:after="0"/>
              <w:jc w:val="center"/>
            </w:pPr>
            <w:r>
              <w:rPr>
                <w:b/>
                <w:bCs/>
              </w:rPr>
              <w:t>прострочення</w:t>
            </w:r>
          </w:p>
        </w:tc>
        <w:tc>
          <w:tcPr>
            <w:tcW w:w="1858" w:type="dxa"/>
            <w:vMerge/>
            <w:tcBorders>
              <w:left w:val="single" w:sz="4" w:space="0" w:color="auto"/>
              <w:right w:val="single" w:sz="4" w:space="0" w:color="auto"/>
            </w:tcBorders>
            <w:shd w:val="clear" w:color="auto" w:fill="auto"/>
          </w:tcPr>
          <w:p w:rsidR="00761B0C" w:rsidRDefault="00761B0C"/>
        </w:tc>
      </w:tr>
      <w:tr w:rsidR="00761B0C">
        <w:trPr>
          <w:trHeight w:hRule="exact" w:val="331"/>
          <w:jc w:val="center"/>
        </w:trPr>
        <w:tc>
          <w:tcPr>
            <w:tcW w:w="3600" w:type="dxa"/>
            <w:tcBorders>
              <w:top w:val="single" w:sz="4" w:space="0" w:color="auto"/>
              <w:left w:val="single" w:sz="4" w:space="0" w:color="auto"/>
            </w:tcBorders>
            <w:shd w:val="clear" w:color="auto" w:fill="auto"/>
            <w:vAlign w:val="bottom"/>
          </w:tcPr>
          <w:p w:rsidR="00761B0C" w:rsidRDefault="00494341">
            <w:pPr>
              <w:pStyle w:val="a7"/>
              <w:spacing w:after="0"/>
            </w:pPr>
            <w:r>
              <w:t>1 - Не прострочена</w:t>
            </w:r>
          </w:p>
        </w:tc>
        <w:tc>
          <w:tcPr>
            <w:tcW w:w="1992" w:type="dxa"/>
            <w:tcBorders>
              <w:top w:val="single" w:sz="4" w:space="0" w:color="auto"/>
              <w:left w:val="single" w:sz="4" w:space="0" w:color="auto"/>
            </w:tcBorders>
            <w:shd w:val="clear" w:color="auto" w:fill="auto"/>
            <w:vAlign w:val="bottom"/>
          </w:tcPr>
          <w:p w:rsidR="00761B0C" w:rsidRDefault="00494341">
            <w:pPr>
              <w:pStyle w:val="a7"/>
              <w:spacing w:after="0"/>
              <w:jc w:val="center"/>
            </w:pPr>
            <w:r>
              <w:t>0-90</w:t>
            </w:r>
          </w:p>
        </w:tc>
        <w:tc>
          <w:tcPr>
            <w:tcW w:w="2117" w:type="dxa"/>
            <w:tcBorders>
              <w:top w:val="single" w:sz="4" w:space="0" w:color="auto"/>
              <w:left w:val="single" w:sz="4" w:space="0" w:color="auto"/>
            </w:tcBorders>
            <w:shd w:val="clear" w:color="auto" w:fill="auto"/>
          </w:tcPr>
          <w:p w:rsidR="00761B0C" w:rsidRDefault="00761B0C">
            <w:pPr>
              <w:rPr>
                <w:sz w:val="10"/>
                <w:szCs w:val="10"/>
              </w:rPr>
            </w:pPr>
          </w:p>
        </w:tc>
        <w:tc>
          <w:tcPr>
            <w:tcW w:w="1858" w:type="dxa"/>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jc w:val="center"/>
            </w:pPr>
            <w:r>
              <w:t>0</w:t>
            </w:r>
          </w:p>
        </w:tc>
      </w:tr>
      <w:tr w:rsidR="00761B0C">
        <w:trPr>
          <w:trHeight w:hRule="exact" w:val="336"/>
          <w:jc w:val="center"/>
        </w:trPr>
        <w:tc>
          <w:tcPr>
            <w:tcW w:w="3600" w:type="dxa"/>
            <w:tcBorders>
              <w:top w:val="single" w:sz="4" w:space="0" w:color="auto"/>
              <w:left w:val="single" w:sz="4" w:space="0" w:color="auto"/>
            </w:tcBorders>
            <w:shd w:val="clear" w:color="auto" w:fill="auto"/>
            <w:vAlign w:val="bottom"/>
          </w:tcPr>
          <w:p w:rsidR="00761B0C" w:rsidRDefault="00494341">
            <w:pPr>
              <w:pStyle w:val="a7"/>
              <w:spacing w:after="0"/>
            </w:pPr>
            <w:r>
              <w:t>2 - Прострочена</w:t>
            </w:r>
          </w:p>
        </w:tc>
        <w:tc>
          <w:tcPr>
            <w:tcW w:w="1992" w:type="dxa"/>
            <w:tcBorders>
              <w:top w:val="single" w:sz="4" w:space="0" w:color="auto"/>
              <w:left w:val="single" w:sz="4" w:space="0" w:color="auto"/>
            </w:tcBorders>
            <w:shd w:val="clear" w:color="auto" w:fill="auto"/>
          </w:tcPr>
          <w:p w:rsidR="00761B0C" w:rsidRDefault="00761B0C">
            <w:pPr>
              <w:rPr>
                <w:sz w:val="10"/>
                <w:szCs w:val="10"/>
              </w:rPr>
            </w:pPr>
          </w:p>
        </w:tc>
        <w:tc>
          <w:tcPr>
            <w:tcW w:w="2117" w:type="dxa"/>
            <w:tcBorders>
              <w:top w:val="single" w:sz="4" w:space="0" w:color="auto"/>
              <w:left w:val="single" w:sz="4" w:space="0" w:color="auto"/>
            </w:tcBorders>
            <w:shd w:val="clear" w:color="auto" w:fill="auto"/>
            <w:vAlign w:val="bottom"/>
          </w:tcPr>
          <w:p w:rsidR="00761B0C" w:rsidRDefault="00494341">
            <w:pPr>
              <w:pStyle w:val="a7"/>
              <w:spacing w:after="0"/>
              <w:jc w:val="center"/>
            </w:pPr>
            <w:r>
              <w:t>91-120</w:t>
            </w:r>
          </w:p>
        </w:tc>
        <w:tc>
          <w:tcPr>
            <w:tcW w:w="1858" w:type="dxa"/>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jc w:val="center"/>
            </w:pPr>
            <w:r>
              <w:t>0,5</w:t>
            </w:r>
          </w:p>
        </w:tc>
      </w:tr>
      <w:tr w:rsidR="00761B0C">
        <w:trPr>
          <w:trHeight w:hRule="exact" w:val="331"/>
          <w:jc w:val="center"/>
        </w:trPr>
        <w:tc>
          <w:tcPr>
            <w:tcW w:w="3600" w:type="dxa"/>
            <w:tcBorders>
              <w:top w:val="single" w:sz="4" w:space="0" w:color="auto"/>
              <w:left w:val="single" w:sz="4" w:space="0" w:color="auto"/>
            </w:tcBorders>
            <w:shd w:val="clear" w:color="auto" w:fill="auto"/>
            <w:vAlign w:val="bottom"/>
          </w:tcPr>
          <w:p w:rsidR="00761B0C" w:rsidRDefault="00494341">
            <w:pPr>
              <w:pStyle w:val="a7"/>
              <w:spacing w:after="0"/>
            </w:pPr>
            <w:r>
              <w:t>3 - Прострочена</w:t>
            </w:r>
          </w:p>
        </w:tc>
        <w:tc>
          <w:tcPr>
            <w:tcW w:w="1992" w:type="dxa"/>
            <w:tcBorders>
              <w:top w:val="single" w:sz="4" w:space="0" w:color="auto"/>
              <w:left w:val="single" w:sz="4" w:space="0" w:color="auto"/>
            </w:tcBorders>
            <w:shd w:val="clear" w:color="auto" w:fill="auto"/>
          </w:tcPr>
          <w:p w:rsidR="00761B0C" w:rsidRDefault="00761B0C">
            <w:pPr>
              <w:rPr>
                <w:sz w:val="10"/>
                <w:szCs w:val="10"/>
              </w:rPr>
            </w:pPr>
          </w:p>
        </w:tc>
        <w:tc>
          <w:tcPr>
            <w:tcW w:w="2117" w:type="dxa"/>
            <w:tcBorders>
              <w:top w:val="single" w:sz="4" w:space="0" w:color="auto"/>
              <w:left w:val="single" w:sz="4" w:space="0" w:color="auto"/>
            </w:tcBorders>
            <w:shd w:val="clear" w:color="auto" w:fill="auto"/>
            <w:vAlign w:val="bottom"/>
          </w:tcPr>
          <w:p w:rsidR="00761B0C" w:rsidRDefault="00494341">
            <w:pPr>
              <w:pStyle w:val="a7"/>
              <w:spacing w:after="0"/>
              <w:jc w:val="center"/>
            </w:pPr>
            <w:r>
              <w:t>121-180</w:t>
            </w:r>
          </w:p>
        </w:tc>
        <w:tc>
          <w:tcPr>
            <w:tcW w:w="1858" w:type="dxa"/>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jc w:val="center"/>
            </w:pPr>
            <w:r>
              <w:t>1</w:t>
            </w:r>
          </w:p>
        </w:tc>
      </w:tr>
      <w:tr w:rsidR="00761B0C">
        <w:trPr>
          <w:trHeight w:hRule="exact" w:val="336"/>
          <w:jc w:val="center"/>
        </w:trPr>
        <w:tc>
          <w:tcPr>
            <w:tcW w:w="3600" w:type="dxa"/>
            <w:tcBorders>
              <w:top w:val="single" w:sz="4" w:space="0" w:color="auto"/>
              <w:left w:val="single" w:sz="4" w:space="0" w:color="auto"/>
            </w:tcBorders>
            <w:shd w:val="clear" w:color="auto" w:fill="auto"/>
            <w:vAlign w:val="bottom"/>
          </w:tcPr>
          <w:p w:rsidR="00761B0C" w:rsidRDefault="00494341">
            <w:pPr>
              <w:pStyle w:val="a7"/>
              <w:spacing w:after="0"/>
            </w:pPr>
            <w:r>
              <w:t>4 - Прострочена</w:t>
            </w:r>
          </w:p>
        </w:tc>
        <w:tc>
          <w:tcPr>
            <w:tcW w:w="1992" w:type="dxa"/>
            <w:tcBorders>
              <w:top w:val="single" w:sz="4" w:space="0" w:color="auto"/>
              <w:left w:val="single" w:sz="4" w:space="0" w:color="auto"/>
            </w:tcBorders>
            <w:shd w:val="clear" w:color="auto" w:fill="auto"/>
          </w:tcPr>
          <w:p w:rsidR="00761B0C" w:rsidRDefault="00761B0C">
            <w:pPr>
              <w:rPr>
                <w:sz w:val="10"/>
                <w:szCs w:val="10"/>
              </w:rPr>
            </w:pPr>
          </w:p>
        </w:tc>
        <w:tc>
          <w:tcPr>
            <w:tcW w:w="2117" w:type="dxa"/>
            <w:tcBorders>
              <w:top w:val="single" w:sz="4" w:space="0" w:color="auto"/>
              <w:left w:val="single" w:sz="4" w:space="0" w:color="auto"/>
            </w:tcBorders>
            <w:shd w:val="clear" w:color="auto" w:fill="auto"/>
            <w:vAlign w:val="bottom"/>
          </w:tcPr>
          <w:p w:rsidR="00761B0C" w:rsidRDefault="00494341">
            <w:pPr>
              <w:pStyle w:val="a7"/>
              <w:spacing w:after="0"/>
              <w:jc w:val="center"/>
            </w:pPr>
            <w:r>
              <w:t>181-365</w:t>
            </w:r>
          </w:p>
        </w:tc>
        <w:tc>
          <w:tcPr>
            <w:tcW w:w="1858" w:type="dxa"/>
            <w:tcBorders>
              <w:top w:val="single" w:sz="4" w:space="0" w:color="auto"/>
              <w:left w:val="single" w:sz="4" w:space="0" w:color="auto"/>
              <w:right w:val="single" w:sz="4" w:space="0" w:color="auto"/>
            </w:tcBorders>
            <w:shd w:val="clear" w:color="auto" w:fill="auto"/>
            <w:vAlign w:val="bottom"/>
          </w:tcPr>
          <w:p w:rsidR="00761B0C" w:rsidRDefault="00494341">
            <w:pPr>
              <w:pStyle w:val="a7"/>
              <w:spacing w:after="0"/>
              <w:jc w:val="center"/>
            </w:pPr>
            <w:r>
              <w:t>1</w:t>
            </w:r>
          </w:p>
        </w:tc>
      </w:tr>
      <w:tr w:rsidR="00761B0C">
        <w:trPr>
          <w:trHeight w:hRule="exact" w:val="346"/>
          <w:jc w:val="center"/>
        </w:trPr>
        <w:tc>
          <w:tcPr>
            <w:tcW w:w="3600" w:type="dxa"/>
            <w:tcBorders>
              <w:top w:val="single" w:sz="4" w:space="0" w:color="auto"/>
              <w:left w:val="single" w:sz="4" w:space="0" w:color="auto"/>
              <w:bottom w:val="single" w:sz="4" w:space="0" w:color="auto"/>
            </w:tcBorders>
            <w:shd w:val="clear" w:color="auto" w:fill="auto"/>
          </w:tcPr>
          <w:p w:rsidR="00761B0C" w:rsidRDefault="00494341">
            <w:pPr>
              <w:pStyle w:val="a7"/>
              <w:spacing w:after="0"/>
            </w:pPr>
            <w:r>
              <w:t>5 - Сумнівна</w:t>
            </w:r>
          </w:p>
        </w:tc>
        <w:tc>
          <w:tcPr>
            <w:tcW w:w="1992" w:type="dxa"/>
            <w:tcBorders>
              <w:top w:val="single" w:sz="4" w:space="0" w:color="auto"/>
              <w:left w:val="single" w:sz="4" w:space="0" w:color="auto"/>
              <w:bottom w:val="single" w:sz="4" w:space="0" w:color="auto"/>
            </w:tcBorders>
            <w:shd w:val="clear" w:color="auto" w:fill="auto"/>
          </w:tcPr>
          <w:p w:rsidR="00761B0C" w:rsidRDefault="00761B0C">
            <w:pPr>
              <w:rPr>
                <w:sz w:val="10"/>
                <w:szCs w:val="10"/>
              </w:rPr>
            </w:pPr>
          </w:p>
        </w:tc>
        <w:tc>
          <w:tcPr>
            <w:tcW w:w="2117" w:type="dxa"/>
            <w:tcBorders>
              <w:top w:val="single" w:sz="4" w:space="0" w:color="auto"/>
              <w:left w:val="single" w:sz="4" w:space="0" w:color="auto"/>
              <w:bottom w:val="single" w:sz="4" w:space="0" w:color="auto"/>
            </w:tcBorders>
            <w:shd w:val="clear" w:color="auto" w:fill="auto"/>
          </w:tcPr>
          <w:p w:rsidR="00761B0C" w:rsidRDefault="00494341">
            <w:pPr>
              <w:pStyle w:val="a7"/>
              <w:spacing w:after="0"/>
              <w:jc w:val="center"/>
            </w:pPr>
            <w:r>
              <w:t>більше 365</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761B0C" w:rsidRDefault="00494341">
            <w:pPr>
              <w:pStyle w:val="a7"/>
              <w:spacing w:after="0"/>
              <w:jc w:val="center"/>
            </w:pPr>
            <w:r>
              <w:t>100</w:t>
            </w:r>
          </w:p>
        </w:tc>
      </w:tr>
    </w:tbl>
    <w:p w:rsidR="00761B0C" w:rsidRDefault="00761B0C">
      <w:pPr>
        <w:spacing w:after="299" w:line="1" w:lineRule="exact"/>
      </w:pPr>
    </w:p>
    <w:p w:rsidR="00761B0C" w:rsidRDefault="00494341">
      <w:pPr>
        <w:pStyle w:val="11"/>
        <w:spacing w:after="300"/>
        <w:jc w:val="both"/>
      </w:pPr>
      <w:r>
        <w:t xml:space="preserve">Майбутні грошові потоки в групі фінансових активів, що колективно оцінюються на предмет знецінення, розраховуються на основі передбачених договорами грошових потоків від активів та досвіду керівництва стосовно того, якою мірою ці суми стануть простроченими в результаті минулих збиткових подій і якою мірою такі прострочені суми можна буде відшкодувати. Попередній досвід коригується з урахуванням існуючих даних, що відображають вплив поточних умов, які не впливали на той період, на якому базується попередній досвід збитків, та </w:t>
      </w:r>
      <w:r>
        <w:lastRenderedPageBreak/>
        <w:t>вилучається вплив тих умов у попередньому періоді, які не існують на даний момент. Якщо умови знеціненого фінансового активу, що обліковується за амортизованою вартістю, переглядаються або іншим чином змінюються внаслідок фінансових труднощів позичальника чи емітента, знецінення такого активу оцінюється із використанням ефективної процентної ставки, яка застосовувалася до зміни його умов.</w:t>
      </w:r>
    </w:p>
    <w:p w:rsidR="00761B0C" w:rsidRDefault="00494341">
      <w:pPr>
        <w:pStyle w:val="11"/>
        <w:spacing w:after="300"/>
        <w:jc w:val="both"/>
      </w:pPr>
      <w:r>
        <w:t>Активи, погашення яких неможливе, списуються за рахунок відповідного резерву збитків від знецінення після завершення всіх необхідних процедур для відшкодування активу та після визначення остаточної суми збитку. Повернення (відшкодування) раніше списаних сум кредитується на рахунок відповідного резерву збитків від знецінення у прибутку чи збитку за рік.</w:t>
      </w:r>
    </w:p>
    <w:p w:rsidR="00761B0C" w:rsidRDefault="00494341">
      <w:pPr>
        <w:pStyle w:val="11"/>
        <w:spacing w:after="300"/>
        <w:jc w:val="both"/>
      </w:pPr>
      <w:r>
        <w:t>У разі погашення дебіторської заборгованості, за якою було визнано збиток від знецінення, збиток повинен бути відновлений, оскільки балансова вартість активів не повинна перевищувати їх вартість до визнання збитків від знецінення.</w:t>
      </w:r>
    </w:p>
    <w:p w:rsidR="00761B0C" w:rsidRDefault="00494341">
      <w:pPr>
        <w:pStyle w:val="11"/>
        <w:spacing w:after="320"/>
        <w:jc w:val="both"/>
      </w:pPr>
      <w:r>
        <w:t>Збитки від знецінення дебіторської заборгованості розраховують через застосування відсотка імовірності непогашення до величини відповідної групи дебіторської заборгованості (балансової вартості), крім безнадійної дебіторської заборгованості.</w:t>
      </w:r>
    </w:p>
    <w:p w:rsidR="00761B0C" w:rsidRDefault="00494341">
      <w:pPr>
        <w:pStyle w:val="11"/>
        <w:spacing w:after="320"/>
        <w:jc w:val="both"/>
      </w:pPr>
      <w:r>
        <w:t>Резерв кредитних збитків не нараховується на дебіторську заборгованість за виданими авансами, за розрахунками з бюджетом (переплати по податках та обов’язкових платежах тощо).</w:t>
      </w:r>
    </w:p>
    <w:p w:rsidR="00761B0C" w:rsidRDefault="00494341">
      <w:pPr>
        <w:pStyle w:val="11"/>
        <w:spacing w:after="320"/>
        <w:jc w:val="both"/>
      </w:pPr>
      <w:r>
        <w:t xml:space="preserve">Резерв кредитних збитків створюється виходячи з оцінки платоспроможності конкретних дебіторів та термінів </w:t>
      </w:r>
      <w:proofErr w:type="spellStart"/>
      <w:r>
        <w:t>протермінування</w:t>
      </w:r>
      <w:proofErr w:type="spellEnd"/>
      <w:r>
        <w:t xml:space="preserve"> оплати заборгованості. Якщо відбувається погіршення платоспроможності якого-небудь із великих дебіторів або фактичні збитки від невиконання зобов'язань боржниками перевищують оцінки Компанії, фактичні результати можуть відрізнятися від зазначених оцінок. Нарахування та відновлення резерву сумнівних боргів може бути істотними.</w:t>
      </w:r>
    </w:p>
    <w:p w:rsidR="00761B0C" w:rsidRDefault="00494341">
      <w:pPr>
        <w:pStyle w:val="11"/>
        <w:spacing w:after="320"/>
        <w:jc w:val="both"/>
      </w:pPr>
      <w:proofErr w:type="spellStart"/>
      <w:r>
        <w:t>Реструктуризована</w:t>
      </w:r>
      <w:proofErr w:type="spellEnd"/>
      <w:r>
        <w:t xml:space="preserve"> дебіторська заборгованість дисконтується до її теперішньої вартості із застосуванням ефективної ставки відсотка, розмір якої рівний ефективній ставці відсотка, розрахованої для </w:t>
      </w:r>
      <w:proofErr w:type="spellStart"/>
      <w:r>
        <w:t>реструктуризованої</w:t>
      </w:r>
      <w:proofErr w:type="spellEnd"/>
      <w:r>
        <w:t xml:space="preserve"> кредиторської заборгованості. Вибір вищеописаного підходу до розміру дисконтної ставки для </w:t>
      </w:r>
      <w:proofErr w:type="spellStart"/>
      <w:r>
        <w:t>реструктуризованої</w:t>
      </w:r>
      <w:proofErr w:type="spellEnd"/>
      <w:r>
        <w:t xml:space="preserve"> дебіторської заборгованості базується на припущенні, що кошти отримані в результаті погашення дебіторської заборгованості в першу чергу будуть спрямовані на погашення кредиторської заборгованості.</w:t>
      </w:r>
    </w:p>
    <w:p w:rsidR="00761B0C" w:rsidRDefault="00494341">
      <w:pPr>
        <w:pStyle w:val="11"/>
        <w:spacing w:after="320"/>
        <w:jc w:val="both"/>
      </w:pPr>
      <w:r>
        <w:t>Виключення безнадійної дебіторської заборгованості з активів здійснюється з одночасним списанням відповідної суми величини резерву сумнівних боргів, що обліковується за на рахунку 38 «Резерв сумнівних боргів». У разі недостатності нарахованої суми резерву сумнівних боргів безнадійна дебіторська заборгованість списується з активів на інші операційні витрати. Суми відшкодування раніше списаної безнадійної дебіторської заборгованості включаються до складу інших операційних доходів.</w:t>
      </w:r>
    </w:p>
    <w:p w:rsidR="00761B0C" w:rsidRDefault="00494341">
      <w:pPr>
        <w:pStyle w:val="22"/>
        <w:keepNext/>
        <w:keepLines/>
        <w:numPr>
          <w:ilvl w:val="0"/>
          <w:numId w:val="22"/>
        </w:numPr>
        <w:tabs>
          <w:tab w:val="left" w:pos="1082"/>
        </w:tabs>
        <w:ind w:firstLine="620"/>
        <w:jc w:val="both"/>
      </w:pPr>
      <w:bookmarkStart w:id="14" w:name="bookmark28"/>
      <w:r>
        <w:lastRenderedPageBreak/>
        <w:t>Облік зобов’язань та забезпечень</w:t>
      </w:r>
      <w:bookmarkEnd w:id="14"/>
    </w:p>
    <w:p w:rsidR="00761B0C" w:rsidRDefault="00494341">
      <w:pPr>
        <w:pStyle w:val="11"/>
        <w:spacing w:after="320"/>
        <w:jc w:val="both"/>
      </w:pPr>
      <w:r>
        <w:t>Облік зобов’язань та забезпечень передбачає визнання довгострокових і поточних зобов’язань, а також нарахування забезпечень. Зобов’язання Підприємства класифікуються на довгострокові (термін погашення понад 12 місяців) і поточні (термін погашення до 12 місяців).</w:t>
      </w:r>
    </w:p>
    <w:p w:rsidR="00761B0C" w:rsidRDefault="00494341">
      <w:pPr>
        <w:pStyle w:val="11"/>
        <w:spacing w:after="320"/>
        <w:jc w:val="both"/>
      </w:pPr>
      <w:r>
        <w:t>Даний розділ базується на нормах, визначених в МСБО 1 «Подання фінансової звітності», МСБО 32 «Фінансові інструменти: подання», МСФЗ 9 «Фінансові інструменти», МСФЗ 7 «Фінансові інструменти: розкриття інформації», МСБО 37 «Забезпечення, умовні зобов’язання та умовні активи».</w:t>
      </w:r>
    </w:p>
    <w:p w:rsidR="00761B0C" w:rsidRDefault="00494341">
      <w:pPr>
        <w:pStyle w:val="11"/>
        <w:spacing w:after="0"/>
        <w:jc w:val="both"/>
      </w:pPr>
      <w:r>
        <w:t>Фінансові зобов’язання класифікуються за такими категоріями:</w:t>
      </w:r>
    </w:p>
    <w:p w:rsidR="00761B0C" w:rsidRDefault="00494341">
      <w:pPr>
        <w:pStyle w:val="11"/>
        <w:numPr>
          <w:ilvl w:val="0"/>
          <w:numId w:val="23"/>
        </w:numPr>
        <w:tabs>
          <w:tab w:val="left" w:pos="1047"/>
        </w:tabs>
        <w:spacing w:after="0"/>
        <w:ind w:firstLine="620"/>
        <w:jc w:val="both"/>
      </w:pPr>
      <w:r>
        <w:t>фінансові зобов’язання, оцінені за справедливою вартістю з відображенням результату переоцінки як прибутку або збитку, окремо класифікуються на такі, що і) призначені такими при первісному визнанні та іі) такі, що відповідають визначенню утримуваних для торгівлі;</w:t>
      </w:r>
    </w:p>
    <w:p w:rsidR="00761B0C" w:rsidRDefault="00494341">
      <w:pPr>
        <w:pStyle w:val="11"/>
        <w:numPr>
          <w:ilvl w:val="0"/>
          <w:numId w:val="23"/>
        </w:numPr>
        <w:tabs>
          <w:tab w:val="left" w:pos="992"/>
        </w:tabs>
        <w:spacing w:after="0"/>
        <w:ind w:firstLine="580"/>
        <w:jc w:val="both"/>
      </w:pPr>
      <w:r>
        <w:t xml:space="preserve">фінансові зобов'язання, оцінені за амортизованою собівартістю. </w:t>
      </w:r>
      <w:r>
        <w:rPr>
          <w:i/>
          <w:iCs/>
        </w:rPr>
        <w:t xml:space="preserve">Первісне визнання </w:t>
      </w:r>
      <w:proofErr w:type="spellStart"/>
      <w:r>
        <w:rPr>
          <w:i/>
          <w:iCs/>
        </w:rPr>
        <w:t>зобов</w:t>
      </w:r>
      <w:proofErr w:type="spellEnd"/>
      <w:r>
        <w:rPr>
          <w:i/>
          <w:iCs/>
        </w:rPr>
        <w:t xml:space="preserve"> </w:t>
      </w:r>
      <w:proofErr w:type="spellStart"/>
      <w:r>
        <w:rPr>
          <w:i/>
          <w:iCs/>
        </w:rPr>
        <w:t>’язань</w:t>
      </w:r>
      <w:proofErr w:type="spellEnd"/>
    </w:p>
    <w:p w:rsidR="00761B0C" w:rsidRDefault="00494341">
      <w:pPr>
        <w:pStyle w:val="11"/>
        <w:spacing w:after="0"/>
        <w:jc w:val="both"/>
      </w:pPr>
      <w:r>
        <w:t>Зобов’язання існує в разі одночасного виконання всіх трьох критеріїв:</w:t>
      </w:r>
    </w:p>
    <w:p w:rsidR="00761B0C" w:rsidRDefault="00494341">
      <w:pPr>
        <w:pStyle w:val="11"/>
        <w:numPr>
          <w:ilvl w:val="0"/>
          <w:numId w:val="24"/>
        </w:numPr>
        <w:tabs>
          <w:tab w:val="left" w:pos="972"/>
        </w:tabs>
        <w:spacing w:after="0"/>
        <w:ind w:firstLine="580"/>
        <w:jc w:val="both"/>
      </w:pPr>
      <w:r>
        <w:t>суб'єкт господарювання має обов'язок;</w:t>
      </w:r>
    </w:p>
    <w:p w:rsidR="00761B0C" w:rsidRDefault="00494341">
      <w:pPr>
        <w:pStyle w:val="11"/>
        <w:numPr>
          <w:ilvl w:val="0"/>
          <w:numId w:val="24"/>
        </w:numPr>
        <w:tabs>
          <w:tab w:val="left" w:pos="991"/>
        </w:tabs>
        <w:spacing w:after="0"/>
        <w:ind w:firstLine="580"/>
        <w:jc w:val="both"/>
      </w:pPr>
      <w:r>
        <w:t>обов'язок передбачає передання економічного ресурсу;</w:t>
      </w:r>
    </w:p>
    <w:p w:rsidR="00761B0C" w:rsidRDefault="00494341">
      <w:pPr>
        <w:pStyle w:val="11"/>
        <w:numPr>
          <w:ilvl w:val="0"/>
          <w:numId w:val="24"/>
        </w:numPr>
        <w:tabs>
          <w:tab w:val="left" w:pos="981"/>
        </w:tabs>
        <w:spacing w:after="0"/>
        <w:ind w:firstLine="580"/>
        <w:jc w:val="both"/>
      </w:pPr>
      <w:r>
        <w:t>обов'язок є теперішнім обов'язком, що існує внаслідок минулих подій.</w:t>
      </w:r>
    </w:p>
    <w:p w:rsidR="00761B0C" w:rsidRDefault="00494341">
      <w:pPr>
        <w:pStyle w:val="11"/>
        <w:spacing w:after="0"/>
        <w:ind w:firstLine="580"/>
        <w:jc w:val="both"/>
      </w:pPr>
      <w:r>
        <w:t xml:space="preserve">Товариство відповідно до МСБО 1 «Подання фінансової звітності» (п.60) класифікує зобов’язання як поточні та </w:t>
      </w:r>
      <w:proofErr w:type="spellStart"/>
      <w:r>
        <w:t>непоточні</w:t>
      </w:r>
      <w:proofErr w:type="spellEnd"/>
      <w:r>
        <w:t xml:space="preserve"> (довгострокові).</w:t>
      </w:r>
    </w:p>
    <w:p w:rsidR="00761B0C" w:rsidRDefault="00494341">
      <w:pPr>
        <w:pStyle w:val="11"/>
        <w:spacing w:after="0"/>
        <w:jc w:val="both"/>
      </w:pPr>
      <w:r>
        <w:t>Під час первісного визнання Товариство оцінює фінансове зобов’язання за його справедливою вартістю плюс витрати на операцію, що можуть бути безпосередньо віднесені на придбання або випуск фінансового зобов'язання. Торговельна кредиторська заборгованість під час первісного визнання оцінюється за ціною угоди, якщо торговельна кредиторська заборгованість не містить значного компоненту фінансування.</w:t>
      </w:r>
    </w:p>
    <w:p w:rsidR="00761B0C" w:rsidRDefault="00494341">
      <w:pPr>
        <w:pStyle w:val="11"/>
        <w:spacing w:after="0"/>
        <w:jc w:val="both"/>
      </w:pPr>
      <w:r>
        <w:t>Товариство класифікує зобов’язання як поточне, якщо:</w:t>
      </w:r>
    </w:p>
    <w:p w:rsidR="00761B0C" w:rsidRDefault="00494341">
      <w:pPr>
        <w:pStyle w:val="11"/>
        <w:numPr>
          <w:ilvl w:val="0"/>
          <w:numId w:val="25"/>
        </w:numPr>
        <w:tabs>
          <w:tab w:val="left" w:pos="958"/>
        </w:tabs>
        <w:spacing w:after="0"/>
        <w:ind w:firstLine="580"/>
        <w:jc w:val="both"/>
      </w:pPr>
      <w:r>
        <w:t>сподівається погасити це зобов’язання в ході свого звичайного операційного циклу;</w:t>
      </w:r>
    </w:p>
    <w:p w:rsidR="00761B0C" w:rsidRDefault="00494341">
      <w:pPr>
        <w:pStyle w:val="11"/>
        <w:numPr>
          <w:ilvl w:val="0"/>
          <w:numId w:val="25"/>
        </w:numPr>
        <w:tabs>
          <w:tab w:val="left" w:pos="1480"/>
        </w:tabs>
        <w:spacing w:after="0"/>
        <w:ind w:firstLine="580"/>
        <w:jc w:val="both"/>
      </w:pPr>
      <w:r>
        <w:t>утримує це зобов’язання в основному з метою продажу;</w:t>
      </w:r>
    </w:p>
    <w:p w:rsidR="00761B0C" w:rsidRDefault="00494341">
      <w:pPr>
        <w:pStyle w:val="11"/>
        <w:numPr>
          <w:ilvl w:val="0"/>
          <w:numId w:val="25"/>
        </w:numPr>
        <w:tabs>
          <w:tab w:val="left" w:pos="968"/>
        </w:tabs>
        <w:spacing w:after="0"/>
        <w:ind w:firstLine="580"/>
        <w:jc w:val="both"/>
      </w:pPr>
      <w:r>
        <w:t>зобов’язання підлягає погашенню протягом дванадцяти місяців після звітного періоду;</w:t>
      </w:r>
    </w:p>
    <w:p w:rsidR="00761B0C" w:rsidRDefault="00494341">
      <w:pPr>
        <w:pStyle w:val="11"/>
        <w:numPr>
          <w:ilvl w:val="0"/>
          <w:numId w:val="25"/>
        </w:numPr>
        <w:tabs>
          <w:tab w:val="left" w:pos="953"/>
        </w:tabs>
        <w:spacing w:after="320"/>
        <w:ind w:firstLine="580"/>
        <w:jc w:val="both"/>
      </w:pPr>
      <w:r>
        <w:t>не має безумовного права відстрочити погашення зобов’язання протягом як мінімум дванадцяти місяців після звітного періоду. Умови зобов’язання, які можуть, за вибором контрагента, привести до його погашення через випуск інструментів власного капіталу, не впливають на його класифікацію (п. 69 МСБО 1 «Подання фінансової звітності»).</w:t>
      </w:r>
    </w:p>
    <w:p w:rsidR="00761B0C" w:rsidRDefault="00494341">
      <w:pPr>
        <w:pStyle w:val="11"/>
        <w:spacing w:after="0"/>
        <w:jc w:val="both"/>
      </w:pPr>
      <w:r>
        <w:t>До складу поточних зобов’язань Підприємства зараховуються:</w:t>
      </w:r>
    </w:p>
    <w:p w:rsidR="00761B0C" w:rsidRDefault="00494341">
      <w:pPr>
        <w:pStyle w:val="11"/>
        <w:numPr>
          <w:ilvl w:val="0"/>
          <w:numId w:val="26"/>
        </w:numPr>
        <w:tabs>
          <w:tab w:val="left" w:pos="1480"/>
        </w:tabs>
        <w:spacing w:after="0"/>
        <w:ind w:left="1480" w:hanging="360"/>
        <w:jc w:val="both"/>
      </w:pPr>
      <w:r>
        <w:t>короткострокові кредити банків, що обліковуються на рахунку 60 «Короткострокові позики»;</w:t>
      </w:r>
    </w:p>
    <w:p w:rsidR="00761B0C" w:rsidRDefault="00494341">
      <w:pPr>
        <w:pStyle w:val="11"/>
        <w:numPr>
          <w:ilvl w:val="0"/>
          <w:numId w:val="26"/>
        </w:numPr>
        <w:tabs>
          <w:tab w:val="left" w:pos="1480"/>
        </w:tabs>
        <w:spacing w:after="0"/>
        <w:ind w:left="1480" w:hanging="360"/>
        <w:jc w:val="both"/>
      </w:pPr>
      <w:r>
        <w:t>поточна кредиторську заборгованість за довгостроковими зобов’язаннями, що обліковується на рахунку 61 «Поточна заборгованість за довгостроковими зобов’язаннями»;</w:t>
      </w:r>
    </w:p>
    <w:p w:rsidR="00761B0C" w:rsidRDefault="00494341">
      <w:pPr>
        <w:pStyle w:val="11"/>
        <w:numPr>
          <w:ilvl w:val="0"/>
          <w:numId w:val="26"/>
        </w:numPr>
        <w:tabs>
          <w:tab w:val="left" w:pos="1480"/>
        </w:tabs>
        <w:spacing w:after="0"/>
        <w:ind w:left="1480" w:hanging="360"/>
        <w:jc w:val="both"/>
      </w:pPr>
      <w:r>
        <w:t xml:space="preserve">поточна кредиторська заборгованість за товари, роботи, послуги, що відображається на рахунку 63 «Розрахунки з постачальниками та </w:t>
      </w:r>
      <w:r>
        <w:lastRenderedPageBreak/>
        <w:t>підрядниками»;</w:t>
      </w:r>
    </w:p>
    <w:p w:rsidR="00761B0C" w:rsidRDefault="00494341">
      <w:pPr>
        <w:pStyle w:val="11"/>
        <w:numPr>
          <w:ilvl w:val="0"/>
          <w:numId w:val="26"/>
        </w:numPr>
        <w:tabs>
          <w:tab w:val="left" w:pos="1480"/>
        </w:tabs>
        <w:spacing w:after="0"/>
        <w:ind w:left="1480" w:hanging="360"/>
        <w:jc w:val="both"/>
      </w:pPr>
      <w:r>
        <w:t>поточну кредиторську заборгованість за розрахунками з бюджетом, що обліковується на субрахунках рахунку 64 «Розрахунки за податками й платежами»;</w:t>
      </w:r>
    </w:p>
    <w:p w:rsidR="00761B0C" w:rsidRDefault="00494341">
      <w:pPr>
        <w:pStyle w:val="11"/>
        <w:numPr>
          <w:ilvl w:val="0"/>
          <w:numId w:val="26"/>
        </w:numPr>
        <w:tabs>
          <w:tab w:val="left" w:pos="1480"/>
        </w:tabs>
        <w:spacing w:after="0"/>
        <w:ind w:left="1480" w:hanging="360"/>
        <w:jc w:val="both"/>
      </w:pPr>
      <w:r>
        <w:t>поточна кредиторська заборгованість за розрахунками зі страхування, що обліковується на рахунку 65 «Розрахунки за страхуванням»;</w:t>
      </w:r>
    </w:p>
    <w:p w:rsidR="00761B0C" w:rsidRDefault="00494341">
      <w:pPr>
        <w:pStyle w:val="11"/>
        <w:numPr>
          <w:ilvl w:val="0"/>
          <w:numId w:val="26"/>
        </w:numPr>
        <w:tabs>
          <w:tab w:val="left" w:pos="1480"/>
        </w:tabs>
        <w:spacing w:after="0"/>
        <w:ind w:left="1480" w:hanging="360"/>
        <w:jc w:val="both"/>
      </w:pPr>
      <w:r>
        <w:t>інші поточні зобов’язання, що відображаються на субрахунку 684 «Розрахунки за нарахованими відсотками», та зобов’язання за розрахунками з іншими кредиторами, що відображаються на субрахунку 685 «Розрахунки з іншими кредиторами».</w:t>
      </w:r>
    </w:p>
    <w:p w:rsidR="00761B0C" w:rsidRDefault="00494341">
      <w:pPr>
        <w:pStyle w:val="11"/>
        <w:spacing w:after="0"/>
        <w:jc w:val="both"/>
      </w:pPr>
      <w:r>
        <w:t xml:space="preserve">Товариство класифікує всі інші зобов’язання як </w:t>
      </w:r>
      <w:proofErr w:type="spellStart"/>
      <w:r>
        <w:t>непоточні</w:t>
      </w:r>
      <w:proofErr w:type="spellEnd"/>
      <w:r>
        <w:t>.</w:t>
      </w:r>
    </w:p>
    <w:p w:rsidR="00761B0C" w:rsidRDefault="00494341">
      <w:pPr>
        <w:pStyle w:val="11"/>
        <w:spacing w:after="0"/>
        <w:jc w:val="both"/>
      </w:pPr>
      <w:r>
        <w:t>Зобов’язання, на яке нараховуються відсотки та яке підлягає погашенню протягом 12 місяців з дати балансу, слід розглядати як довгострокове зобов’язання, якщо первісний термін погашення був більший ніж 12 місяців та до затвердження фінансової звітності існує угода про переоформлення цього зобов’язання на довгострокове.</w:t>
      </w:r>
    </w:p>
    <w:p w:rsidR="00761B0C" w:rsidRDefault="00494341">
      <w:pPr>
        <w:pStyle w:val="11"/>
        <w:spacing w:after="0"/>
        <w:jc w:val="both"/>
      </w:pPr>
      <w:r>
        <w:t>Товариством первісна оцінка кредиторської заборгованості здійснюється за справедливою вартістю.</w:t>
      </w:r>
    </w:p>
    <w:p w:rsidR="00761B0C" w:rsidRDefault="00494341">
      <w:pPr>
        <w:pStyle w:val="11"/>
        <w:spacing w:after="0"/>
        <w:jc w:val="both"/>
      </w:pPr>
      <w:r>
        <w:rPr>
          <w:i/>
          <w:iCs/>
        </w:rPr>
        <w:t xml:space="preserve">Модель обліку </w:t>
      </w:r>
      <w:proofErr w:type="spellStart"/>
      <w:r>
        <w:rPr>
          <w:i/>
          <w:iCs/>
        </w:rPr>
        <w:t>зобов</w:t>
      </w:r>
      <w:proofErr w:type="spellEnd"/>
      <w:r>
        <w:rPr>
          <w:i/>
          <w:iCs/>
        </w:rPr>
        <w:t xml:space="preserve"> </w:t>
      </w:r>
      <w:proofErr w:type="spellStart"/>
      <w:r>
        <w:rPr>
          <w:i/>
          <w:iCs/>
        </w:rPr>
        <w:t>’язань</w:t>
      </w:r>
      <w:proofErr w:type="spellEnd"/>
      <w:r>
        <w:rPr>
          <w:i/>
          <w:iCs/>
        </w:rPr>
        <w:t xml:space="preserve"> після первісного визнання</w:t>
      </w:r>
    </w:p>
    <w:p w:rsidR="00761B0C" w:rsidRDefault="00494341">
      <w:pPr>
        <w:pStyle w:val="11"/>
        <w:spacing w:after="0"/>
        <w:ind w:firstLine="580"/>
        <w:jc w:val="both"/>
      </w:pPr>
      <w:r>
        <w:t>Відповідно до розділу 6 «Оцінка» Концептуальної основи фінансової звітності основи оцінки при первісному визнанні становлять історична собівартість та поточна вартість.</w:t>
      </w:r>
    </w:p>
    <w:p w:rsidR="00761B0C" w:rsidRDefault="00494341">
      <w:pPr>
        <w:pStyle w:val="11"/>
        <w:spacing w:after="0"/>
        <w:ind w:firstLine="580"/>
        <w:jc w:val="both"/>
      </w:pPr>
      <w:r>
        <w:t>До основ оцінки за поточною вартістю належать:</w:t>
      </w:r>
    </w:p>
    <w:p w:rsidR="00761B0C" w:rsidRDefault="00494341">
      <w:pPr>
        <w:pStyle w:val="11"/>
        <w:numPr>
          <w:ilvl w:val="0"/>
          <w:numId w:val="27"/>
        </w:numPr>
        <w:tabs>
          <w:tab w:val="left" w:pos="926"/>
        </w:tabs>
        <w:spacing w:after="0"/>
        <w:ind w:firstLine="580"/>
        <w:jc w:val="both"/>
      </w:pPr>
      <w:r>
        <w:t>справедлива вартість;</w:t>
      </w:r>
    </w:p>
    <w:p w:rsidR="00761B0C" w:rsidRDefault="00494341">
      <w:pPr>
        <w:pStyle w:val="11"/>
        <w:numPr>
          <w:ilvl w:val="0"/>
          <w:numId w:val="27"/>
        </w:numPr>
        <w:tabs>
          <w:tab w:val="left" w:pos="946"/>
        </w:tabs>
        <w:spacing w:after="0"/>
        <w:ind w:firstLine="580"/>
        <w:jc w:val="both"/>
      </w:pPr>
      <w:r>
        <w:t>вартість виконання для зобов'язань;</w:t>
      </w:r>
    </w:p>
    <w:p w:rsidR="00761B0C" w:rsidRDefault="00494341">
      <w:pPr>
        <w:pStyle w:val="11"/>
        <w:numPr>
          <w:ilvl w:val="0"/>
          <w:numId w:val="27"/>
        </w:numPr>
        <w:tabs>
          <w:tab w:val="left" w:pos="936"/>
        </w:tabs>
        <w:spacing w:after="0"/>
        <w:ind w:firstLine="580"/>
        <w:jc w:val="both"/>
      </w:pPr>
      <w:r>
        <w:t>поточна собівартість (теперішня вартість).</w:t>
      </w:r>
    </w:p>
    <w:p w:rsidR="00761B0C" w:rsidRDefault="00494341">
      <w:pPr>
        <w:pStyle w:val="11"/>
        <w:spacing w:after="320"/>
        <w:ind w:firstLine="580"/>
        <w:jc w:val="both"/>
      </w:pPr>
      <w:r>
        <w:t>Після первісного визнання Товариство оцінює фінансові зобов’язання за амортизованою собівартістю, за винятком фінансових зобов’язань, що оцінюються за справедливою вартістю через прибуток або збиток та фінансових зобов’язань, що оцінюються за справедливою вартістю через інший сукупний дохід.</w:t>
      </w:r>
    </w:p>
    <w:p w:rsidR="00761B0C" w:rsidRDefault="00494341">
      <w:pPr>
        <w:pStyle w:val="11"/>
        <w:spacing w:after="0"/>
        <w:jc w:val="both"/>
      </w:pPr>
      <w:r>
        <w:t>При обліку фінансових зобов’язань, які визнаються відповідно до МСФЗ, використовуються:</w:t>
      </w:r>
    </w:p>
    <w:p w:rsidR="00761B0C" w:rsidRDefault="00494341">
      <w:pPr>
        <w:pStyle w:val="11"/>
        <w:numPr>
          <w:ilvl w:val="0"/>
          <w:numId w:val="28"/>
        </w:numPr>
        <w:tabs>
          <w:tab w:val="left" w:pos="1426"/>
        </w:tabs>
        <w:spacing w:after="0"/>
        <w:ind w:firstLine="580"/>
        <w:jc w:val="both"/>
      </w:pPr>
      <w:r>
        <w:t>справедлива вартість при їх первісному визнанні (вартість, на яку можна обміняти актив або врегулювати зобов’язання при виконанні угоди між добре обізнаними та незалежними одна від одної сторонами, які бажають здійснити таку угоду);</w:t>
      </w:r>
    </w:p>
    <w:p w:rsidR="00761B0C" w:rsidRDefault="00494341">
      <w:pPr>
        <w:pStyle w:val="11"/>
        <w:numPr>
          <w:ilvl w:val="0"/>
          <w:numId w:val="28"/>
        </w:numPr>
        <w:tabs>
          <w:tab w:val="left" w:pos="1426"/>
        </w:tabs>
        <w:spacing w:after="320"/>
        <w:ind w:firstLine="580"/>
        <w:jc w:val="both"/>
      </w:pPr>
      <w:r>
        <w:t>амортизована вартість (вартість, за якою фінансове зобов’язання оцінюється при первісному визнанні, з урахуванням накопиченої амортизації на основі методу ефективної ставки відсотка, а також сум часткового списання за рахунок знецінення або безнадійної заборгованості).</w:t>
      </w:r>
    </w:p>
    <w:p w:rsidR="00761B0C" w:rsidRDefault="00494341">
      <w:pPr>
        <w:pStyle w:val="11"/>
        <w:spacing w:after="320"/>
        <w:jc w:val="both"/>
      </w:pPr>
      <w:r>
        <w:t>Товариство здійснює передачу частини довгострокової кредиторської заборгованості до складу короткострокової, якщо станом на дату балансу за умов договору до повернення частини боргу залишається менше 365 днів.</w:t>
      </w:r>
    </w:p>
    <w:p w:rsidR="00761B0C" w:rsidRDefault="00494341">
      <w:pPr>
        <w:pStyle w:val="11"/>
        <w:spacing w:after="0"/>
        <w:jc w:val="both"/>
      </w:pPr>
      <w:r>
        <w:t xml:space="preserve">Якщо має місце відстрочення суми платежу за придбані товари, роботи, послуги, і різниця між справедливою вартістю поточної кредиторської заборгованості та номінальною сумою грошових коштів, які підлягають сплаті за отримані товари, </w:t>
      </w:r>
      <w:r>
        <w:lastRenderedPageBreak/>
        <w:t>роботи, послуги є суттєвою, то різниця між справедливою вартістю поточної кредиторської заборгованості та номінальною сумою грошових коштів, що підлягають сплаті, визнається кредиторською заборгованістю за нарахованими відсотками. У разі, якщо при відстрочці платежу виникає довгострокова кредиторська заборгованість за товари, роботи, послуги, то така заборгованість визнається за справедливою вартістю, а різниця між справедливою та номінальною вартістю визнається фінансовими витратами.</w:t>
      </w:r>
    </w:p>
    <w:p w:rsidR="00761B0C" w:rsidRDefault="00494341">
      <w:pPr>
        <w:pStyle w:val="11"/>
        <w:spacing w:after="0"/>
        <w:jc w:val="both"/>
      </w:pPr>
      <w:r>
        <w:rPr>
          <w:i/>
          <w:iCs/>
        </w:rPr>
        <w:t>Кредити та позики.</w:t>
      </w:r>
    </w:p>
    <w:p w:rsidR="00761B0C" w:rsidRDefault="00494341">
      <w:pPr>
        <w:pStyle w:val="11"/>
        <w:spacing w:after="320"/>
        <w:jc w:val="both"/>
      </w:pPr>
      <w:r>
        <w:t>Після первісного визнання процентні кредити та позики оцінюються за амортизованою собівартістю, яка визначається із застосування ефективної ставки відсотка. Доходи і витрати за такими фінансовими зобов’язаннями визнаються у звіті про сукупний дохід у разі припинення їх визнання, а також пропорційна нарахування амортизації з використанням ефективної ставки відсотка. Амортизована вартість розраховується з урахуванням дисконтів або премій, отриманих при придбанні, а також комісійних або інших витрат, які є невід'ємною частиною ефективної ставки відсотка. Амортизація ефективної ставки відсотка включається до складу фінансових витрат у звіті про сукупний дохід.</w:t>
      </w:r>
    </w:p>
    <w:p w:rsidR="00761B0C" w:rsidRDefault="00494341">
      <w:pPr>
        <w:pStyle w:val="11"/>
        <w:spacing w:after="0"/>
        <w:jc w:val="both"/>
      </w:pPr>
      <w:r>
        <w:rPr>
          <w:i/>
          <w:iCs/>
        </w:rPr>
        <w:t>Припинення визнання.</w:t>
      </w:r>
    </w:p>
    <w:p w:rsidR="00761B0C" w:rsidRDefault="00494341">
      <w:pPr>
        <w:pStyle w:val="11"/>
        <w:spacing w:after="320"/>
        <w:jc w:val="both"/>
      </w:pPr>
      <w:r>
        <w:t xml:space="preserve">Припинення визнання фінансового зобов’язання здійснюється коли воно погашається: тобто тоді, коли зобов’язання, передбачене договором, виконано або анульовано, або коли сплив термін його виконання. Різниця між балансовою вартістю фінансового зобов’язання (або частини фінансового зобов’язання), яке було погашене або передане іншій стороні, та виплаченою компенсацією, включаючи будь-які передані </w:t>
      </w:r>
      <w:proofErr w:type="spellStart"/>
      <w:r>
        <w:t>негрошові</w:t>
      </w:r>
      <w:proofErr w:type="spellEnd"/>
      <w:r>
        <w:t xml:space="preserve"> активи або прийняті зобов’язання, визнається в прибутку або збитку.</w:t>
      </w:r>
    </w:p>
    <w:p w:rsidR="00761B0C" w:rsidRDefault="00494341">
      <w:pPr>
        <w:pStyle w:val="11"/>
        <w:spacing w:after="0"/>
        <w:jc w:val="both"/>
      </w:pPr>
      <w:proofErr w:type="spellStart"/>
      <w:r>
        <w:rPr>
          <w:i/>
          <w:iCs/>
        </w:rPr>
        <w:t>Реструктуризована</w:t>
      </w:r>
      <w:proofErr w:type="spellEnd"/>
      <w:r>
        <w:rPr>
          <w:i/>
          <w:iCs/>
        </w:rPr>
        <w:t xml:space="preserve"> кредиторська заборгованість.</w:t>
      </w:r>
    </w:p>
    <w:p w:rsidR="00761B0C" w:rsidRDefault="00494341">
      <w:pPr>
        <w:pStyle w:val="11"/>
        <w:spacing w:after="320"/>
        <w:jc w:val="both"/>
      </w:pPr>
      <w:proofErr w:type="spellStart"/>
      <w:r>
        <w:t>Реструктуризована</w:t>
      </w:r>
      <w:proofErr w:type="spellEnd"/>
      <w:r>
        <w:t xml:space="preserve"> кредиторська заборгованість дисконтується до її теперішньої вартості із застосуванням ефективної ставки відсотка, котра притаманна переважній більшості фінансових інструментів, які мають схожі умови та характеристики на дату первісного визнання.</w:t>
      </w:r>
    </w:p>
    <w:p w:rsidR="00761B0C" w:rsidRDefault="00494341">
      <w:pPr>
        <w:pStyle w:val="11"/>
        <w:spacing w:after="0"/>
        <w:jc w:val="both"/>
      </w:pPr>
      <w:r>
        <w:rPr>
          <w:i/>
          <w:iCs/>
        </w:rPr>
        <w:t>Інші забезпечення.</w:t>
      </w:r>
    </w:p>
    <w:p w:rsidR="00761B0C" w:rsidRDefault="00494341">
      <w:pPr>
        <w:pStyle w:val="11"/>
        <w:spacing w:after="0"/>
        <w:jc w:val="both"/>
      </w:pPr>
      <w:r>
        <w:t>Товариством створюється наступні види забезпечень:</w:t>
      </w:r>
    </w:p>
    <w:p w:rsidR="00761B0C" w:rsidRDefault="00494341">
      <w:pPr>
        <w:pStyle w:val="11"/>
        <w:numPr>
          <w:ilvl w:val="0"/>
          <w:numId w:val="29"/>
        </w:numPr>
        <w:tabs>
          <w:tab w:val="left" w:pos="1476"/>
        </w:tabs>
        <w:spacing w:after="0"/>
        <w:ind w:left="1140"/>
        <w:jc w:val="both"/>
      </w:pPr>
      <w:r>
        <w:t>на витрати по претензіям та судовим процесам;</w:t>
      </w:r>
    </w:p>
    <w:p w:rsidR="00761B0C" w:rsidRDefault="00494341">
      <w:pPr>
        <w:pStyle w:val="11"/>
        <w:numPr>
          <w:ilvl w:val="0"/>
          <w:numId w:val="29"/>
        </w:numPr>
        <w:tabs>
          <w:tab w:val="left" w:pos="1476"/>
        </w:tabs>
        <w:spacing w:after="0"/>
        <w:ind w:left="1140"/>
        <w:jc w:val="both"/>
      </w:pPr>
      <w:r>
        <w:t>на знецінення запасів ( у т.ч. товарів і готової продукції)</w:t>
      </w:r>
    </w:p>
    <w:p w:rsidR="00761B0C" w:rsidRDefault="00494341">
      <w:pPr>
        <w:pStyle w:val="11"/>
        <w:numPr>
          <w:ilvl w:val="0"/>
          <w:numId w:val="29"/>
        </w:numPr>
        <w:tabs>
          <w:tab w:val="left" w:pos="1476"/>
        </w:tabs>
        <w:spacing w:after="0"/>
        <w:ind w:left="1140"/>
        <w:jc w:val="both"/>
      </w:pPr>
      <w:r>
        <w:t>на виконання гарантійних зобов‘язань;</w:t>
      </w:r>
    </w:p>
    <w:p w:rsidR="00761B0C" w:rsidRDefault="00494341">
      <w:pPr>
        <w:pStyle w:val="11"/>
        <w:numPr>
          <w:ilvl w:val="0"/>
          <w:numId w:val="29"/>
        </w:numPr>
        <w:tabs>
          <w:tab w:val="left" w:pos="1476"/>
        </w:tabs>
        <w:spacing w:after="320"/>
        <w:ind w:left="1140"/>
        <w:jc w:val="both"/>
      </w:pPr>
      <w:r>
        <w:t>на забезпечення наступних виплат працівникам.</w:t>
      </w:r>
    </w:p>
    <w:p w:rsidR="00761B0C" w:rsidRDefault="00494341">
      <w:pPr>
        <w:pStyle w:val="22"/>
        <w:keepNext/>
        <w:keepLines/>
        <w:numPr>
          <w:ilvl w:val="0"/>
          <w:numId w:val="30"/>
        </w:numPr>
        <w:tabs>
          <w:tab w:val="left" w:pos="1084"/>
        </w:tabs>
        <w:ind w:firstLine="620"/>
        <w:jc w:val="both"/>
      </w:pPr>
      <w:bookmarkStart w:id="15" w:name="bookmark30"/>
      <w:r>
        <w:t>Відстрочені податкові активи</w:t>
      </w:r>
      <w:bookmarkEnd w:id="15"/>
    </w:p>
    <w:p w:rsidR="00761B0C" w:rsidRDefault="00494341">
      <w:pPr>
        <w:pStyle w:val="11"/>
        <w:spacing w:after="320"/>
        <w:jc w:val="both"/>
      </w:pPr>
      <w:r>
        <w:t>Відстрочені податкові активи, включаючи ті, що виникають від невикористаних податкових збитків, визнаються в тій мірі, в якій існує ймовірність їх використання, що залежить від отримання достатнього майбутнього оподатковуваного прибутку. Для визначення суми відстрочених податкових активів, які можуть бути визнані, необхідне суттєве судження управлінського персоналу, яке базується на основі очікуваних строків та рівнях майбутніх оподатковуваних прибутків, в поєднанні з майбутніми стратегіями податкового планування.</w:t>
      </w:r>
    </w:p>
    <w:p w:rsidR="00761B0C" w:rsidRDefault="00494341">
      <w:pPr>
        <w:pStyle w:val="11"/>
        <w:spacing w:after="320"/>
        <w:jc w:val="both"/>
      </w:pPr>
      <w:r>
        <w:lastRenderedPageBreak/>
        <w:t>Відстрочені податкові активи визнані щодо всіх оподатковуваних тимчасових різниць, що підлягають вирахуванню, тією мірою, якою є ймовірним отримання оподатковуваного прибутку, щодо якого можна використати оподатковувану тимчасову різницю. Значні судження керівництва вимагаються для визначення суми відстрочених податкових активів, що можуть бути визнані на основі ймовірного часу виникнення, суми майбутнього прибутку до оподаткування та стратеги податкового планування.</w:t>
      </w:r>
    </w:p>
    <w:p w:rsidR="00761B0C" w:rsidRDefault="00494341">
      <w:pPr>
        <w:pStyle w:val="22"/>
        <w:keepNext/>
        <w:keepLines/>
        <w:numPr>
          <w:ilvl w:val="0"/>
          <w:numId w:val="30"/>
        </w:numPr>
        <w:tabs>
          <w:tab w:val="left" w:pos="1076"/>
        </w:tabs>
        <w:ind w:firstLine="580"/>
        <w:jc w:val="both"/>
      </w:pPr>
      <w:bookmarkStart w:id="16" w:name="bookmark32"/>
      <w:r>
        <w:t>Облік виплат працівникам</w:t>
      </w:r>
      <w:bookmarkEnd w:id="16"/>
    </w:p>
    <w:p w:rsidR="00761B0C" w:rsidRDefault="00494341">
      <w:pPr>
        <w:pStyle w:val="11"/>
        <w:spacing w:after="0"/>
      </w:pPr>
      <w:r>
        <w:t>Облік виплат працівникам регулюється МСБО 19 «Винагороди працівникам». Виплати працівникам підприємства класифікуються як:</w:t>
      </w:r>
    </w:p>
    <w:p w:rsidR="00761B0C" w:rsidRDefault="00494341">
      <w:pPr>
        <w:pStyle w:val="11"/>
        <w:numPr>
          <w:ilvl w:val="0"/>
          <w:numId w:val="31"/>
        </w:numPr>
        <w:tabs>
          <w:tab w:val="left" w:pos="1101"/>
        </w:tabs>
        <w:spacing w:after="0"/>
        <w:ind w:firstLine="760"/>
        <w:jc w:val="both"/>
      </w:pPr>
      <w:r>
        <w:t xml:space="preserve">короткострокові виплати працівникам, такі як заробітна плата, внески на соціальне забезпечення, оплачені щорічні відпустки та тимчасова непрацездатність, участь у прибутку та премії (якщо вони підлягають сплаті протягом дванадцяти місяців після закінчення періоду), а також </w:t>
      </w:r>
      <w:proofErr w:type="spellStart"/>
      <w:r>
        <w:t>негрошові</w:t>
      </w:r>
      <w:proofErr w:type="spellEnd"/>
      <w:r>
        <w:t xml:space="preserve"> пільги теперішнім працівникам (такі як медичне обслуговування, надання житла, автомобілів, а також надання безкоштовних чи субсидованих товарів або послуг);</w:t>
      </w:r>
    </w:p>
    <w:p w:rsidR="00761B0C" w:rsidRDefault="00494341">
      <w:pPr>
        <w:pStyle w:val="11"/>
        <w:numPr>
          <w:ilvl w:val="0"/>
          <w:numId w:val="31"/>
        </w:numPr>
        <w:tabs>
          <w:tab w:val="left" w:pos="1130"/>
        </w:tabs>
        <w:spacing w:after="0"/>
        <w:ind w:firstLine="760"/>
        <w:jc w:val="both"/>
      </w:pPr>
      <w:r>
        <w:t>інші довгострокові виплати працівникам, включаючи додаткову відпустку за вислугу років, виплати з нагоди ювілеїв чи інші виплати за вислугу років,;</w:t>
      </w:r>
    </w:p>
    <w:p w:rsidR="00761B0C" w:rsidRDefault="00494341">
      <w:pPr>
        <w:pStyle w:val="11"/>
        <w:numPr>
          <w:ilvl w:val="0"/>
          <w:numId w:val="31"/>
        </w:numPr>
        <w:tabs>
          <w:tab w:val="left" w:pos="1710"/>
        </w:tabs>
        <w:spacing w:after="0"/>
        <w:ind w:firstLine="760"/>
        <w:jc w:val="both"/>
      </w:pPr>
      <w:r>
        <w:t>виплати при звільненні.</w:t>
      </w:r>
    </w:p>
    <w:p w:rsidR="00761B0C" w:rsidRDefault="00494341">
      <w:pPr>
        <w:pStyle w:val="11"/>
        <w:spacing w:after="0"/>
        <w:ind w:firstLine="760"/>
        <w:jc w:val="both"/>
      </w:pPr>
      <w:r>
        <w:t>У випадку необхідності виплат працівникам, що не визначені вищезазначеним переліком, зазначеним в Кодексі законів про працю (зі змінами та доповненнями), що діє на момент вчинення відповідної виплати. Нарахування з заробітної плати працівників складаються:</w:t>
      </w:r>
    </w:p>
    <w:p w:rsidR="00761B0C" w:rsidRDefault="00494341">
      <w:pPr>
        <w:pStyle w:val="11"/>
        <w:spacing w:after="0"/>
        <w:ind w:left="1460"/>
        <w:jc w:val="both"/>
      </w:pPr>
      <w:r>
        <w:t>основної заробітної плати</w:t>
      </w:r>
    </w:p>
    <w:p w:rsidR="00761B0C" w:rsidRDefault="00494341">
      <w:pPr>
        <w:pStyle w:val="11"/>
        <w:spacing w:after="0"/>
        <w:ind w:left="1460"/>
        <w:jc w:val="both"/>
      </w:pPr>
      <w:r>
        <w:t>додаткової заробітної плати</w:t>
      </w:r>
    </w:p>
    <w:p w:rsidR="00761B0C" w:rsidRDefault="00494341">
      <w:pPr>
        <w:pStyle w:val="11"/>
        <w:spacing w:after="0"/>
        <w:ind w:left="1460"/>
      </w:pPr>
      <w:r>
        <w:t>інших заохочувальних та компенсаційних виплат</w:t>
      </w:r>
    </w:p>
    <w:p w:rsidR="00761B0C" w:rsidRDefault="00494341">
      <w:pPr>
        <w:pStyle w:val="11"/>
        <w:spacing w:after="0"/>
        <w:jc w:val="both"/>
      </w:pPr>
      <w:r>
        <w:t>Короткострокові виплати працівникам в загальному вигляді включають в себе:</w:t>
      </w:r>
    </w:p>
    <w:p w:rsidR="00761B0C" w:rsidRDefault="00494341">
      <w:pPr>
        <w:pStyle w:val="11"/>
        <w:numPr>
          <w:ilvl w:val="0"/>
          <w:numId w:val="32"/>
        </w:numPr>
        <w:tabs>
          <w:tab w:val="left" w:pos="986"/>
        </w:tabs>
        <w:spacing w:after="0"/>
        <w:ind w:firstLine="760"/>
        <w:jc w:val="both"/>
      </w:pPr>
      <w:r>
        <w:t>основна та додаткова заробітна плата, обов’язкові внески на соціальне страхування;</w:t>
      </w:r>
    </w:p>
    <w:p w:rsidR="00761B0C" w:rsidRDefault="00494341">
      <w:pPr>
        <w:pStyle w:val="11"/>
        <w:numPr>
          <w:ilvl w:val="0"/>
          <w:numId w:val="32"/>
        </w:numPr>
        <w:tabs>
          <w:tab w:val="left" w:pos="1710"/>
        </w:tabs>
        <w:spacing w:after="0"/>
        <w:ind w:firstLine="760"/>
        <w:jc w:val="both"/>
      </w:pPr>
      <w:r>
        <w:t>щорічна відпустка та тимчасова непрацездатність;</w:t>
      </w:r>
    </w:p>
    <w:p w:rsidR="00761B0C" w:rsidRDefault="00494341">
      <w:pPr>
        <w:pStyle w:val="11"/>
        <w:numPr>
          <w:ilvl w:val="0"/>
          <w:numId w:val="32"/>
        </w:numPr>
        <w:tabs>
          <w:tab w:val="left" w:pos="1710"/>
        </w:tabs>
        <w:spacing w:after="0"/>
        <w:ind w:firstLine="760"/>
        <w:jc w:val="both"/>
      </w:pPr>
      <w:r>
        <w:t>інші заохочувальні виплати.</w:t>
      </w:r>
    </w:p>
    <w:p w:rsidR="00761B0C" w:rsidRDefault="00494341">
      <w:pPr>
        <w:pStyle w:val="11"/>
        <w:spacing w:after="0"/>
        <w:ind w:firstLine="760"/>
        <w:jc w:val="both"/>
      </w:pPr>
      <w:r>
        <w:t>Авансові виплати майбутніх заробітних плат не визнаються витратами періоду, і якщо вони ще не були сплачені на дату балансу, їх слід визнавати дебіторською заборгованістю. Повернуті витрати (витрати на проїзд, харчування та проживання працівників у відрядженні) також не включаються до заробітної плати.</w:t>
      </w:r>
    </w:p>
    <w:p w:rsidR="00761B0C" w:rsidRDefault="00494341">
      <w:pPr>
        <w:pStyle w:val="11"/>
        <w:spacing w:after="320"/>
        <w:ind w:firstLine="760"/>
        <w:jc w:val="both"/>
      </w:pPr>
      <w:r>
        <w:t>Згідно з вимогами МСБО 24, Товариство розкриває інформацію про виплати при звільненні основному управлінському персоналові.</w:t>
      </w:r>
    </w:p>
    <w:p w:rsidR="00761B0C" w:rsidRDefault="00494341">
      <w:pPr>
        <w:pStyle w:val="22"/>
        <w:keepNext/>
        <w:keepLines/>
        <w:numPr>
          <w:ilvl w:val="0"/>
          <w:numId w:val="30"/>
        </w:numPr>
        <w:tabs>
          <w:tab w:val="left" w:pos="1141"/>
        </w:tabs>
        <w:ind w:firstLine="640"/>
        <w:jc w:val="both"/>
      </w:pPr>
      <w:bookmarkStart w:id="17" w:name="bookmark34"/>
      <w:r>
        <w:t>Облік доходів</w:t>
      </w:r>
      <w:bookmarkEnd w:id="17"/>
    </w:p>
    <w:p w:rsidR="00761B0C" w:rsidRDefault="00494341">
      <w:pPr>
        <w:pStyle w:val="11"/>
        <w:spacing w:after="320"/>
        <w:jc w:val="both"/>
      </w:pPr>
      <w:r>
        <w:t>Товариство визнає такі види доходів: від реалізації робіт і послуг, інші операційні доходи, інші фінансові доходи.</w:t>
      </w:r>
    </w:p>
    <w:p w:rsidR="00761B0C" w:rsidRDefault="00494341">
      <w:pPr>
        <w:pStyle w:val="11"/>
        <w:spacing w:after="320"/>
        <w:jc w:val="both"/>
      </w:pPr>
      <w:r>
        <w:t>Даний розділ базується на нормах, визначених в Концептуальній основі фінансової звітності, МСБО 1 «Подання фінансової звітності», МСФЗ 15 «Дохід від договорів з клієнтами», МСБО 11 «Будівельні контракти».</w:t>
      </w:r>
    </w:p>
    <w:p w:rsidR="00761B0C" w:rsidRDefault="00494341">
      <w:pPr>
        <w:pStyle w:val="11"/>
        <w:spacing w:after="320"/>
        <w:jc w:val="both"/>
      </w:pPr>
      <w:r>
        <w:t xml:space="preserve">Дохід від договорів з клієнтами визнається Товариством у складі доходів від </w:t>
      </w:r>
      <w:r>
        <w:lastRenderedPageBreak/>
        <w:t>реалізації робіт і послуг.</w:t>
      </w:r>
    </w:p>
    <w:p w:rsidR="00761B0C" w:rsidRDefault="00494341">
      <w:pPr>
        <w:pStyle w:val="11"/>
        <w:spacing w:after="320"/>
        <w:jc w:val="both"/>
      </w:pPr>
      <w:r>
        <w:t>Якщо договір є виконаним частково, то Товариством застосовується такий метод оцінювання прогресу на шляху до повного задоволення зобов’язання щодо виконання як метод оцінки за ресурсами (п. Б14, (б) МСФЗ 15 «Дохід від договорів з клієнтами»).</w:t>
      </w:r>
    </w:p>
    <w:p w:rsidR="00761B0C" w:rsidRDefault="00494341">
      <w:pPr>
        <w:pStyle w:val="11"/>
        <w:spacing w:after="320"/>
        <w:jc w:val="both"/>
      </w:pPr>
      <w:r>
        <w:t>Методи оцінки за ресурсами передбачають визнання доходу від звичайної діяльності на основі зусиль або ресурсів, використаних Товариством для задоволення зобов'язання щодо виконання по відношенню до очікуваного загального обсягу ресурсів, необхідного для задоволення цього зобов'язання щодо виконання.</w:t>
      </w:r>
    </w:p>
    <w:p w:rsidR="00761B0C" w:rsidRDefault="00494341">
      <w:pPr>
        <w:pStyle w:val="11"/>
        <w:spacing w:after="0"/>
        <w:jc w:val="both"/>
      </w:pPr>
      <w:r>
        <w:t>Дохід, пов’язаний з наданням послуг, визнається, виходячи зі ступеня завершеності операцій з надання послуг на дату балансу, якщо може бути достовірно оцінений результат цієї операції. Результат операцій з надання послуг може бути достовірно оцінений за наявності всіх наведених нижче умов:</w:t>
      </w:r>
    </w:p>
    <w:p w:rsidR="00761B0C" w:rsidRDefault="00494341">
      <w:pPr>
        <w:pStyle w:val="11"/>
        <w:numPr>
          <w:ilvl w:val="0"/>
          <w:numId w:val="33"/>
        </w:numPr>
        <w:tabs>
          <w:tab w:val="left" w:pos="1461"/>
        </w:tabs>
        <w:spacing w:after="0"/>
        <w:ind w:left="1120"/>
        <w:jc w:val="both"/>
      </w:pPr>
      <w:r>
        <w:t>можливості достовірної оцінки доходу;</w:t>
      </w:r>
    </w:p>
    <w:p w:rsidR="00761B0C" w:rsidRDefault="00494341">
      <w:pPr>
        <w:pStyle w:val="11"/>
        <w:numPr>
          <w:ilvl w:val="0"/>
          <w:numId w:val="33"/>
        </w:numPr>
        <w:tabs>
          <w:tab w:val="left" w:pos="1461"/>
        </w:tabs>
        <w:spacing w:after="0"/>
        <w:ind w:left="1120"/>
        <w:jc w:val="both"/>
      </w:pPr>
      <w:r>
        <w:t>імовірності надходження економічних вигід від надання послуг;</w:t>
      </w:r>
    </w:p>
    <w:p w:rsidR="00761B0C" w:rsidRDefault="00494341">
      <w:pPr>
        <w:pStyle w:val="11"/>
        <w:numPr>
          <w:ilvl w:val="0"/>
          <w:numId w:val="33"/>
        </w:numPr>
        <w:tabs>
          <w:tab w:val="left" w:pos="1461"/>
        </w:tabs>
        <w:spacing w:after="0"/>
        <w:ind w:left="1480" w:hanging="360"/>
        <w:jc w:val="both"/>
      </w:pPr>
      <w:r>
        <w:t>можливості достовірної оцінки ступеня завершеності надання послуг на дату балансу;</w:t>
      </w:r>
    </w:p>
    <w:p w:rsidR="00761B0C" w:rsidRDefault="00494341">
      <w:pPr>
        <w:pStyle w:val="11"/>
        <w:numPr>
          <w:ilvl w:val="0"/>
          <w:numId w:val="33"/>
        </w:numPr>
        <w:tabs>
          <w:tab w:val="left" w:pos="1461"/>
        </w:tabs>
        <w:spacing w:after="320"/>
        <w:ind w:left="1480" w:hanging="360"/>
        <w:jc w:val="both"/>
      </w:pPr>
      <w:r>
        <w:t>можливості достовірної оцінки витрат, здійснених для надання послуг та необхідних для їх завершення.</w:t>
      </w:r>
    </w:p>
    <w:p w:rsidR="00761B0C" w:rsidRDefault="00494341">
      <w:pPr>
        <w:pStyle w:val="11"/>
        <w:spacing w:after="320"/>
        <w:jc w:val="both"/>
      </w:pPr>
      <w:r>
        <w:t>Визнання та оцінка інших операційних доходів та інших фінансових доходів відбувається згідно умов визнання доходів, наведених у визначенні, наданому в Концептуальній основі фінансової звітності, та відбуваються відповідно до положень МСФЗ 16 «Оренда», МСБО 23 «Витрати на позики», МСБО 37 «Забезпечення, умовні зобов’язання та умовні активи» та інших стандартів, згідно яких Товариство ведеться облік активів та зобов’язань.</w:t>
      </w:r>
    </w:p>
    <w:p w:rsidR="00761B0C" w:rsidRDefault="00494341">
      <w:pPr>
        <w:pStyle w:val="11"/>
        <w:spacing w:after="320"/>
        <w:jc w:val="both"/>
      </w:pPr>
      <w:r>
        <w:t xml:space="preserve">До складу інших операційних доходів включають суми інших доходів від операційної діяльності товариства, крім чистого доходу від реалізації продукції (робіт, послуг), зокрема: дохід від операційної оренди активів, дохід від отриманих штрафів і </w:t>
      </w:r>
      <w:proofErr w:type="spellStart"/>
      <w:r>
        <w:t>пеней</w:t>
      </w:r>
      <w:proofErr w:type="spellEnd"/>
      <w:r>
        <w:t>, відшкодування раніше списаних активів; відсотків отриманих на залишки коштів на поточних рахунках в банках; дохід від реалізації оборотних активів, утримуваних для продажу та груп вибуття тощо.</w:t>
      </w:r>
    </w:p>
    <w:p w:rsidR="00761B0C" w:rsidRDefault="00494341">
      <w:pPr>
        <w:pStyle w:val="11"/>
        <w:spacing w:after="320"/>
        <w:jc w:val="both"/>
      </w:pPr>
      <w:r>
        <w:t>До складу фінансових доходів включають відсотки та інші доходи, отримані від фінансових інвестицій (крім доходів, що обліковуються за методом участі в капіталі) та інші доходи від фінансових операцій (позитивні різниці від дисконтування тощо).</w:t>
      </w:r>
    </w:p>
    <w:p w:rsidR="00761B0C" w:rsidRDefault="00494341">
      <w:pPr>
        <w:pStyle w:val="11"/>
        <w:spacing w:after="320"/>
        <w:jc w:val="both"/>
      </w:pPr>
      <w:r>
        <w:t>До складу інших доходів, зокрема, включаються доходи від реалізації фінансових інвестицій, дохід від курсових різниць, дохід від безкоштовно отриманих активів та інші доходи, що виникають в процесі господарської діяльності, але не пов’язані з операційною діяльністю товариства.</w:t>
      </w:r>
    </w:p>
    <w:p w:rsidR="00761B0C" w:rsidRDefault="00494341">
      <w:pPr>
        <w:pStyle w:val="11"/>
        <w:spacing w:after="320"/>
        <w:jc w:val="both"/>
      </w:pPr>
      <w:r>
        <w:rPr>
          <w:i/>
          <w:iCs/>
        </w:rPr>
        <w:t>Визнання доходів від реалізації</w:t>
      </w:r>
    </w:p>
    <w:p w:rsidR="00761B0C" w:rsidRDefault="00494341">
      <w:pPr>
        <w:pStyle w:val="11"/>
        <w:spacing w:after="0"/>
        <w:jc w:val="both"/>
      </w:pPr>
      <w:r>
        <w:lastRenderedPageBreak/>
        <w:t>Визнання доходів від реалізації відбувається відповідно до положень МСФЗ 15 «Дохід від договорів з клієнтами».</w:t>
      </w:r>
    </w:p>
    <w:p w:rsidR="00761B0C" w:rsidRDefault="00494341">
      <w:pPr>
        <w:pStyle w:val="11"/>
        <w:spacing w:after="0"/>
        <w:jc w:val="both"/>
      </w:pPr>
      <w:r>
        <w:t>Товариство обліковує договір з клієнтом тоді, коли задовольняються наступні критерії:</w:t>
      </w:r>
    </w:p>
    <w:p w:rsidR="00761B0C" w:rsidRDefault="00494341">
      <w:pPr>
        <w:pStyle w:val="11"/>
        <w:numPr>
          <w:ilvl w:val="0"/>
          <w:numId w:val="34"/>
        </w:numPr>
        <w:tabs>
          <w:tab w:val="left" w:pos="1064"/>
        </w:tabs>
        <w:spacing w:after="0"/>
        <w:ind w:firstLine="740"/>
        <w:jc w:val="both"/>
      </w:pPr>
      <w:r>
        <w:t>сторони договору схвалили договір (письмово, усно чи у відповідності з іншою звичною практикою ведення бізнесу) і готові виконувати свої зобов'язання;</w:t>
      </w:r>
    </w:p>
    <w:p w:rsidR="00761B0C" w:rsidRDefault="00494341">
      <w:pPr>
        <w:pStyle w:val="11"/>
        <w:numPr>
          <w:ilvl w:val="0"/>
          <w:numId w:val="34"/>
        </w:numPr>
        <w:tabs>
          <w:tab w:val="left" w:pos="1073"/>
        </w:tabs>
        <w:spacing w:after="0"/>
        <w:ind w:firstLine="740"/>
        <w:jc w:val="both"/>
      </w:pPr>
      <w:r>
        <w:t>Товариство може визначити права кожної сторони відносно товарів або послуг, які будуть передаватися;</w:t>
      </w:r>
    </w:p>
    <w:p w:rsidR="00761B0C" w:rsidRDefault="00494341">
      <w:pPr>
        <w:pStyle w:val="11"/>
        <w:numPr>
          <w:ilvl w:val="0"/>
          <w:numId w:val="34"/>
        </w:numPr>
        <w:tabs>
          <w:tab w:val="left" w:pos="1064"/>
        </w:tabs>
        <w:spacing w:after="0"/>
        <w:ind w:firstLine="740"/>
        <w:jc w:val="both"/>
      </w:pPr>
      <w:r>
        <w:t>Товариство може визначити умови оплати за товари або послуги, які будуть передаватися;</w:t>
      </w:r>
    </w:p>
    <w:p w:rsidR="00761B0C" w:rsidRDefault="00494341">
      <w:pPr>
        <w:pStyle w:val="11"/>
        <w:numPr>
          <w:ilvl w:val="0"/>
          <w:numId w:val="34"/>
        </w:numPr>
        <w:tabs>
          <w:tab w:val="left" w:pos="1121"/>
        </w:tabs>
        <w:spacing w:after="0"/>
        <w:ind w:firstLine="740"/>
        <w:jc w:val="both"/>
      </w:pPr>
      <w:r>
        <w:t>договір має комерційну сутність (тобто очікується, що ризик, час або сума майбутніх грошових потоків суб’єкта господарства зміняться внаслідок договору); та</w:t>
      </w:r>
    </w:p>
    <w:p w:rsidR="00761B0C" w:rsidRDefault="00494341">
      <w:pPr>
        <w:pStyle w:val="11"/>
        <w:spacing w:after="320"/>
        <w:ind w:firstLine="740"/>
        <w:jc w:val="both"/>
      </w:pPr>
      <w:r>
        <w:t>ґ) цілком імовірно, що Товариство отримає компенсацію, на яку він матиме право в обмін на товари або послуги, які будуть передані клієнту. Оцінюючи, чи достатньо високою є ймовірність отримання суми компенсації, Товариство повинно розглянути лише здатність клієнта та його намір виплатити таку суму компенсації, коли настане час її сплати. Сума компенсації, на яку Товариство матиме право, може бути меншою, ніж ціна, вказана у договорі, якщо компенсація є змінною величиною через те, що Товариство було запропоновано клієнтові цінову концесію.</w:t>
      </w:r>
    </w:p>
    <w:p w:rsidR="00761B0C" w:rsidRDefault="00494341">
      <w:pPr>
        <w:pStyle w:val="11"/>
        <w:spacing w:after="0"/>
        <w:jc w:val="both"/>
      </w:pPr>
      <w:r>
        <w:t>Якщо договір з клієнтом на момент його укладення відповідає вищенаведеним критеріям, то Товариство не повинно переоцінювати зазначені критерії, якщо немає ознак значної зміни фактів і обставин.</w:t>
      </w:r>
    </w:p>
    <w:p w:rsidR="00761B0C" w:rsidRDefault="00494341">
      <w:pPr>
        <w:pStyle w:val="11"/>
        <w:spacing w:after="320"/>
        <w:jc w:val="both"/>
      </w:pPr>
      <w:r>
        <w:t>Якщо договір з клієнтом не відповідає вищенаведеним критеріям, то Товариство продовжує оцінювати договір, щоб визначити, чи відповідатиме він у подальшому цим критеріям.</w:t>
      </w:r>
    </w:p>
    <w:p w:rsidR="00761B0C" w:rsidRDefault="00494341">
      <w:pPr>
        <w:pStyle w:val="11"/>
        <w:spacing w:after="0"/>
        <w:jc w:val="both"/>
      </w:pPr>
      <w:r>
        <w:rPr>
          <w:i/>
          <w:iCs/>
        </w:rPr>
        <w:t>Модифікація договору</w:t>
      </w:r>
    </w:p>
    <w:p w:rsidR="00761B0C" w:rsidRDefault="00494341">
      <w:pPr>
        <w:pStyle w:val="11"/>
        <w:spacing w:after="0"/>
        <w:jc w:val="both"/>
      </w:pPr>
      <w:r>
        <w:t>Модифікація договору виникає, коли сторони договору затвердили її письмово, за усною домовленістю або за звичною практикою ведення бізнесу. Якщо сторони договору не затвердили його модифікацію, то Товариство продовжує застосовувати МСФЗ 15 до існуючого договору, доки модифікацію договору не буде затверджено.</w:t>
      </w:r>
    </w:p>
    <w:p w:rsidR="00761B0C" w:rsidRDefault="00494341">
      <w:pPr>
        <w:pStyle w:val="11"/>
        <w:spacing w:after="320"/>
        <w:jc w:val="both"/>
      </w:pPr>
      <w:r>
        <w:t>Залежно від характеру модифікації договору її обліковують як окремий договір або частину існуючого договору</w:t>
      </w:r>
    </w:p>
    <w:p w:rsidR="00761B0C" w:rsidRDefault="00494341">
      <w:pPr>
        <w:pStyle w:val="11"/>
        <w:spacing w:after="0"/>
        <w:jc w:val="both"/>
      </w:pPr>
      <w:r>
        <w:t>Договір визнають новим, якщо виконуються обидві такі умови:</w:t>
      </w:r>
    </w:p>
    <w:p w:rsidR="00761B0C" w:rsidRDefault="00494341">
      <w:pPr>
        <w:pStyle w:val="11"/>
        <w:spacing w:after="0"/>
        <w:ind w:firstLine="800"/>
        <w:jc w:val="both"/>
      </w:pPr>
      <w:r>
        <w:t>1) обсяг договору зріс унаслідок включення додаткових товарів/послуг, які є відокремленими;</w:t>
      </w:r>
    </w:p>
    <w:p w:rsidR="00761B0C" w:rsidRDefault="00494341">
      <w:pPr>
        <w:pStyle w:val="11"/>
        <w:spacing w:after="320"/>
        <w:ind w:firstLine="800"/>
        <w:jc w:val="both"/>
      </w:pPr>
      <w:r>
        <w:t>2) ціна договору зросла на суму компенсації, яка відображає окремо взяті ціни продажу цього підприємства додатково обіцяних товарів або послуг та будь-які відповідні коригування такої ціни, які відображають особливі обставини конкретного договору.</w:t>
      </w:r>
    </w:p>
    <w:p w:rsidR="00761B0C" w:rsidRDefault="00494341">
      <w:pPr>
        <w:pStyle w:val="11"/>
        <w:spacing w:after="0"/>
        <w:jc w:val="both"/>
      </w:pPr>
      <w:r>
        <w:t>В іншому випадку модифікацію договору обліковують:</w:t>
      </w:r>
    </w:p>
    <w:p w:rsidR="00761B0C" w:rsidRDefault="00494341">
      <w:pPr>
        <w:pStyle w:val="11"/>
        <w:numPr>
          <w:ilvl w:val="0"/>
          <w:numId w:val="35"/>
        </w:numPr>
        <w:tabs>
          <w:tab w:val="left" w:pos="1437"/>
        </w:tabs>
        <w:spacing w:after="0"/>
        <w:ind w:left="1400" w:hanging="260"/>
        <w:jc w:val="both"/>
      </w:pPr>
      <w:proofErr w:type="spellStart"/>
      <w:r>
        <w:t>перспективно—</w:t>
      </w:r>
      <w:proofErr w:type="spellEnd"/>
      <w:r>
        <w:t xml:space="preserve"> шляхом розподілу решти суми компенсації на решту зобов’язань щодо виконання (або решту відокремлених товарів або послуг в одному зобов’язанні щодо виконання);</w:t>
      </w:r>
    </w:p>
    <w:p w:rsidR="00761B0C" w:rsidRDefault="00494341">
      <w:pPr>
        <w:pStyle w:val="11"/>
        <w:numPr>
          <w:ilvl w:val="0"/>
          <w:numId w:val="35"/>
        </w:numPr>
        <w:tabs>
          <w:tab w:val="left" w:pos="1437"/>
        </w:tabs>
        <w:spacing w:after="0"/>
        <w:ind w:left="1400" w:hanging="260"/>
        <w:jc w:val="both"/>
      </w:pPr>
      <w:r>
        <w:lastRenderedPageBreak/>
        <w:t>ретроспективно — якщо решта товарів/послуг не є відокремленими і, отже, є частиною єдиного зобов’язання щодо виконання, частково задоволеного на дату модифікації, це призводить до кумулятивного коригування доходу на дату модифікації договору.</w:t>
      </w:r>
    </w:p>
    <w:p w:rsidR="00761B0C" w:rsidRDefault="00494341">
      <w:pPr>
        <w:pStyle w:val="11"/>
        <w:spacing w:after="320"/>
        <w:jc w:val="both"/>
      </w:pPr>
      <w:r>
        <w:t>Вибір варіанта обліку залежить від того, чи є відокремленими решта обіцяних товарів/послуг від тих, які вже були передані на дату модифікації договору чи до такої дати. Якщо решта товарів/послуг є відокремленими, то застосовують перспективний облік, якщо не є відокремленими — ретроспективний.</w:t>
      </w:r>
    </w:p>
    <w:p w:rsidR="00761B0C" w:rsidRDefault="00494341">
      <w:pPr>
        <w:pStyle w:val="11"/>
        <w:spacing w:after="320"/>
        <w:jc w:val="both"/>
      </w:pPr>
      <w:r>
        <w:t>Якщо решта товарів/послуг включає як відокремлені, так і не відокремлені, то вплив модифікації визнають тільки щодо невиконаних зобов’язань (у тому числі частково не виконаних).</w:t>
      </w:r>
    </w:p>
    <w:p w:rsidR="00761B0C" w:rsidRDefault="00494341">
      <w:pPr>
        <w:pStyle w:val="11"/>
        <w:spacing w:after="320"/>
        <w:jc w:val="both"/>
      </w:pPr>
      <w:r>
        <w:rPr>
          <w:i/>
          <w:iCs/>
        </w:rPr>
        <w:t xml:space="preserve">Виявлення </w:t>
      </w:r>
      <w:proofErr w:type="spellStart"/>
      <w:r>
        <w:rPr>
          <w:i/>
          <w:iCs/>
        </w:rPr>
        <w:t>зобов</w:t>
      </w:r>
      <w:proofErr w:type="spellEnd"/>
      <w:r>
        <w:rPr>
          <w:i/>
          <w:iCs/>
        </w:rPr>
        <w:t xml:space="preserve"> </w:t>
      </w:r>
      <w:proofErr w:type="spellStart"/>
      <w:r>
        <w:rPr>
          <w:i/>
          <w:iCs/>
        </w:rPr>
        <w:t>’язань</w:t>
      </w:r>
      <w:proofErr w:type="spellEnd"/>
      <w:r>
        <w:rPr>
          <w:i/>
          <w:iCs/>
        </w:rPr>
        <w:t xml:space="preserve"> щодо виконання договору</w:t>
      </w:r>
    </w:p>
    <w:p w:rsidR="00761B0C" w:rsidRDefault="00494341">
      <w:pPr>
        <w:pStyle w:val="11"/>
        <w:spacing w:after="0"/>
        <w:jc w:val="both"/>
      </w:pPr>
      <w:r>
        <w:t>Відповідно до п.22 МСФЗ 15 «Дохід від договорів з клієнтами» на момент укладення договору Товариство оцінює товари або послуги, обіцяні в договорі з клієнтом, та визначає як зобов’язання щодо виконання кожну обіцянку передати клієнтові або</w:t>
      </w:r>
    </w:p>
    <w:p w:rsidR="00761B0C" w:rsidRDefault="00494341">
      <w:pPr>
        <w:pStyle w:val="11"/>
        <w:numPr>
          <w:ilvl w:val="0"/>
          <w:numId w:val="36"/>
        </w:numPr>
        <w:tabs>
          <w:tab w:val="left" w:pos="1401"/>
        </w:tabs>
        <w:spacing w:after="0"/>
        <w:ind w:firstLine="760"/>
        <w:jc w:val="both"/>
      </w:pPr>
      <w:r>
        <w:t>товар чи послугу (або сукупність товарів чи послуг), які є відокремленими; або</w:t>
      </w:r>
    </w:p>
    <w:p w:rsidR="00761B0C" w:rsidRDefault="00494341">
      <w:pPr>
        <w:pStyle w:val="11"/>
        <w:numPr>
          <w:ilvl w:val="0"/>
          <w:numId w:val="36"/>
        </w:numPr>
        <w:tabs>
          <w:tab w:val="left" w:pos="1401"/>
        </w:tabs>
        <w:spacing w:after="0"/>
        <w:ind w:firstLine="760"/>
        <w:jc w:val="both"/>
      </w:pPr>
      <w:r>
        <w:t>серію відокремлених товарів або послуг, які по суті є однаковими та передаються клієнтові за однією і тією самою схемою</w:t>
      </w:r>
    </w:p>
    <w:p w:rsidR="00761B0C" w:rsidRDefault="00494341">
      <w:pPr>
        <w:pStyle w:val="11"/>
        <w:spacing w:after="0"/>
        <w:jc w:val="both"/>
      </w:pPr>
      <w:r>
        <w:t>Залежно від договору обіцяні товари або послуги можуть, зокрема, включати:</w:t>
      </w:r>
    </w:p>
    <w:p w:rsidR="00761B0C" w:rsidRDefault="00494341">
      <w:pPr>
        <w:pStyle w:val="11"/>
        <w:numPr>
          <w:ilvl w:val="0"/>
          <w:numId w:val="37"/>
        </w:numPr>
        <w:tabs>
          <w:tab w:val="left" w:pos="1401"/>
          <w:tab w:val="left" w:pos="1450"/>
        </w:tabs>
        <w:spacing w:after="0"/>
        <w:ind w:firstLine="740"/>
        <w:jc w:val="both"/>
      </w:pPr>
      <w:r>
        <w:t>продаж виготовлених товарів;</w:t>
      </w:r>
    </w:p>
    <w:p w:rsidR="00761B0C" w:rsidRDefault="00494341">
      <w:pPr>
        <w:pStyle w:val="11"/>
        <w:numPr>
          <w:ilvl w:val="0"/>
          <w:numId w:val="37"/>
        </w:numPr>
        <w:tabs>
          <w:tab w:val="left" w:pos="1401"/>
          <w:tab w:val="left" w:pos="1450"/>
        </w:tabs>
        <w:spacing w:after="0"/>
        <w:ind w:firstLine="740"/>
        <w:jc w:val="both"/>
      </w:pPr>
      <w:r>
        <w:t>перепродаж придбаних товарів;</w:t>
      </w:r>
    </w:p>
    <w:p w:rsidR="00761B0C" w:rsidRDefault="00494341">
      <w:pPr>
        <w:pStyle w:val="11"/>
        <w:numPr>
          <w:ilvl w:val="0"/>
          <w:numId w:val="37"/>
        </w:numPr>
        <w:tabs>
          <w:tab w:val="left" w:pos="1401"/>
          <w:tab w:val="left" w:pos="1450"/>
        </w:tabs>
        <w:spacing w:after="0"/>
        <w:ind w:firstLine="740"/>
        <w:jc w:val="both"/>
      </w:pPr>
      <w:r>
        <w:t>перепродаж прав на придбані товари/послуги;</w:t>
      </w:r>
    </w:p>
    <w:p w:rsidR="00761B0C" w:rsidRDefault="00494341">
      <w:pPr>
        <w:pStyle w:val="11"/>
        <w:numPr>
          <w:ilvl w:val="0"/>
          <w:numId w:val="37"/>
        </w:numPr>
        <w:tabs>
          <w:tab w:val="left" w:pos="1401"/>
          <w:tab w:val="left" w:pos="1450"/>
          <w:tab w:val="right" w:pos="9639"/>
        </w:tabs>
        <w:spacing w:after="0"/>
        <w:ind w:firstLine="740"/>
        <w:jc w:val="both"/>
      </w:pPr>
      <w:r>
        <w:t>виконання договірного узгодженого</w:t>
      </w:r>
      <w:r>
        <w:tab/>
        <w:t>завдання (або завдань) для</w:t>
      </w:r>
    </w:p>
    <w:p w:rsidR="00761B0C" w:rsidRDefault="00494341">
      <w:pPr>
        <w:pStyle w:val="11"/>
        <w:spacing w:after="0"/>
        <w:ind w:left="1400"/>
        <w:jc w:val="both"/>
      </w:pPr>
      <w:r>
        <w:t>клієнта;</w:t>
      </w:r>
    </w:p>
    <w:p w:rsidR="00761B0C" w:rsidRDefault="00494341">
      <w:pPr>
        <w:pStyle w:val="11"/>
        <w:numPr>
          <w:ilvl w:val="0"/>
          <w:numId w:val="37"/>
        </w:numPr>
        <w:tabs>
          <w:tab w:val="left" w:pos="1401"/>
        </w:tabs>
        <w:spacing w:after="0"/>
        <w:ind w:firstLine="740"/>
        <w:jc w:val="both"/>
      </w:pPr>
      <w:r>
        <w:t>готовність надати товари або послуги у будь-який момент;</w:t>
      </w:r>
    </w:p>
    <w:p w:rsidR="00761B0C" w:rsidRDefault="00494341">
      <w:pPr>
        <w:pStyle w:val="11"/>
        <w:numPr>
          <w:ilvl w:val="0"/>
          <w:numId w:val="37"/>
        </w:numPr>
        <w:tabs>
          <w:tab w:val="left" w:pos="1401"/>
        </w:tabs>
        <w:spacing w:after="0"/>
        <w:ind w:firstLine="740"/>
        <w:jc w:val="both"/>
      </w:pPr>
      <w:r>
        <w:t>виконання ролі агента іншої сторони;</w:t>
      </w:r>
    </w:p>
    <w:p w:rsidR="00761B0C" w:rsidRDefault="00494341">
      <w:pPr>
        <w:pStyle w:val="11"/>
        <w:numPr>
          <w:ilvl w:val="0"/>
          <w:numId w:val="37"/>
        </w:numPr>
        <w:tabs>
          <w:tab w:val="left" w:pos="1401"/>
        </w:tabs>
        <w:spacing w:after="0"/>
        <w:ind w:left="1400" w:hanging="640"/>
        <w:jc w:val="both"/>
      </w:pPr>
      <w:r>
        <w:t>надання прав на товари/послуги, які будуть надані в майбутньому, які клієнт може перепродати або надати його клієнтові;</w:t>
      </w:r>
    </w:p>
    <w:p w:rsidR="00761B0C" w:rsidRDefault="00494341">
      <w:pPr>
        <w:pStyle w:val="11"/>
        <w:numPr>
          <w:ilvl w:val="0"/>
          <w:numId w:val="37"/>
        </w:numPr>
        <w:tabs>
          <w:tab w:val="left" w:pos="1401"/>
        </w:tabs>
        <w:spacing w:after="0"/>
        <w:ind w:firstLine="740"/>
        <w:jc w:val="both"/>
      </w:pPr>
      <w:r>
        <w:t>спорудження, виготовлення або розробка активу від імені клієнта;</w:t>
      </w:r>
    </w:p>
    <w:p w:rsidR="00761B0C" w:rsidRDefault="00494341">
      <w:pPr>
        <w:pStyle w:val="11"/>
        <w:numPr>
          <w:ilvl w:val="0"/>
          <w:numId w:val="37"/>
        </w:numPr>
        <w:tabs>
          <w:tab w:val="left" w:pos="1401"/>
        </w:tabs>
        <w:spacing w:after="0"/>
        <w:ind w:left="1400" w:hanging="640"/>
        <w:jc w:val="both"/>
      </w:pPr>
      <w:r>
        <w:t>надання ліцензій та опціонів на придбання додаткових товарів або послуг, якщо такі опціони надають клієнтові матеріальне право.</w:t>
      </w:r>
    </w:p>
    <w:p w:rsidR="00761B0C" w:rsidRDefault="00494341">
      <w:pPr>
        <w:pStyle w:val="11"/>
        <w:spacing w:after="320"/>
        <w:jc w:val="both"/>
      </w:pPr>
      <w:r>
        <w:t>МСФЗ 15 визначає два критерії, якими ми маємо керуватися, для того щоб встановити, чи є обіцяні клієнтові товар або послуга відокремленими, критерії повинні виконуватися одночасно.</w:t>
      </w:r>
    </w:p>
    <w:p w:rsidR="00761B0C" w:rsidRDefault="00494341">
      <w:pPr>
        <w:pStyle w:val="11"/>
        <w:spacing w:after="320"/>
        <w:jc w:val="both"/>
      </w:pPr>
      <w:r>
        <w:t xml:space="preserve">Перший </w:t>
      </w:r>
      <w:proofErr w:type="spellStart"/>
      <w:r>
        <w:t>критерій—</w:t>
      </w:r>
      <w:proofErr w:type="spellEnd"/>
      <w:r>
        <w:t xml:space="preserve"> здатність товару/послуги бути відокремленим. У МСФЗ 15 зазначено, що клієнт може отримати вигоду від товару або послуги, якщо вони можуть бути використані, спожиті, продані за суму більшу, ніж їх </w:t>
      </w:r>
      <w:proofErr w:type="spellStart"/>
      <w:r>
        <w:t>ваотість</w:t>
      </w:r>
      <w:proofErr w:type="spellEnd"/>
      <w:r>
        <w:t xml:space="preserve"> як вторинної сировини, чи реалізовані у будь-який інший спосіб, що генерує економічні вигоди.</w:t>
      </w:r>
    </w:p>
    <w:p w:rsidR="00761B0C" w:rsidRDefault="00494341">
      <w:pPr>
        <w:pStyle w:val="11"/>
        <w:spacing w:after="320"/>
        <w:jc w:val="both"/>
      </w:pPr>
      <w:r>
        <w:t>Для деяких товарів/послуг клієнт може отримати вигоду лише власне від самого товару або послуги, а для інших — тільки якщо вони поєднані з іншими легкодоступними ресурсами. Тобто клієнт може отримати вигоду від товару/послуги, взятого окремо, або разом з іншими легкодоступними ресурсами.</w:t>
      </w:r>
    </w:p>
    <w:p w:rsidR="00761B0C" w:rsidRDefault="00494341">
      <w:pPr>
        <w:pStyle w:val="11"/>
        <w:spacing w:after="320"/>
        <w:jc w:val="both"/>
      </w:pPr>
      <w:r>
        <w:lastRenderedPageBreak/>
        <w:t>Другий критерій: перевірка, чи є товар/послуга відокремленою саме в контексті цього договору. Тобто чи не має значної інтеграції між цими зобов’язаннями (чи можна їх купити окремо, у різний час), чи суттєво змінюють, модифікують інші обіцяні за договором товари/послуги.</w:t>
      </w:r>
    </w:p>
    <w:p w:rsidR="00761B0C" w:rsidRDefault="00494341">
      <w:pPr>
        <w:pStyle w:val="11"/>
        <w:spacing w:after="0"/>
        <w:jc w:val="both"/>
      </w:pPr>
      <w:r>
        <w:rPr>
          <w:i/>
          <w:iCs/>
        </w:rPr>
        <w:t>Визначення ціни операції</w:t>
      </w:r>
    </w:p>
    <w:p w:rsidR="00761B0C" w:rsidRDefault="00494341">
      <w:pPr>
        <w:pStyle w:val="11"/>
        <w:spacing w:after="320"/>
        <w:jc w:val="both"/>
      </w:pPr>
      <w:r>
        <w:t>Для визначення ціни операції Товариство розглядає умови договору та особливості своєї звичайної операційної діяльності.</w:t>
      </w:r>
    </w:p>
    <w:p w:rsidR="00761B0C" w:rsidRDefault="00494341">
      <w:pPr>
        <w:pStyle w:val="11"/>
        <w:spacing w:after="0"/>
        <w:jc w:val="both"/>
      </w:pPr>
      <w:r>
        <w:t>При визначенні ціни операції Товариство враховує вплив таких чинників:</w:t>
      </w:r>
    </w:p>
    <w:p w:rsidR="00761B0C" w:rsidRDefault="00494341">
      <w:pPr>
        <w:pStyle w:val="11"/>
        <w:numPr>
          <w:ilvl w:val="0"/>
          <w:numId w:val="38"/>
        </w:numPr>
        <w:tabs>
          <w:tab w:val="left" w:pos="1153"/>
        </w:tabs>
        <w:spacing w:after="0"/>
        <w:ind w:firstLine="780"/>
        <w:jc w:val="both"/>
      </w:pPr>
      <w:r>
        <w:t>змінну компенсацію. Якщо компенсація, обіцяна в договорі, включає змінну суму, то суб’єкт господарювання має оцінити суму компенсації, на яку суб’єкт господарювання матиме право в обмін на передачу обіцяних товарів або послуг клієнтові. Для оцінки суми змінної компенсації Товариство застосовує метод встановлення найімовірнішої суми;</w:t>
      </w:r>
    </w:p>
    <w:p w:rsidR="00761B0C" w:rsidRDefault="00494341">
      <w:pPr>
        <w:pStyle w:val="11"/>
        <w:numPr>
          <w:ilvl w:val="0"/>
          <w:numId w:val="38"/>
        </w:numPr>
        <w:tabs>
          <w:tab w:val="left" w:pos="1908"/>
        </w:tabs>
        <w:spacing w:after="0"/>
        <w:ind w:firstLine="780"/>
        <w:jc w:val="both"/>
      </w:pPr>
      <w:r>
        <w:t>обмежувальні оцінки змінної компенсації;</w:t>
      </w:r>
    </w:p>
    <w:p w:rsidR="00761B0C" w:rsidRDefault="00494341">
      <w:pPr>
        <w:pStyle w:val="11"/>
        <w:numPr>
          <w:ilvl w:val="0"/>
          <w:numId w:val="38"/>
        </w:numPr>
        <w:tabs>
          <w:tab w:val="left" w:pos="1908"/>
        </w:tabs>
        <w:spacing w:after="0"/>
        <w:ind w:firstLine="780"/>
        <w:jc w:val="both"/>
      </w:pPr>
      <w:r>
        <w:t>наявність у договорі суттєвого компоненту фінансування;</w:t>
      </w:r>
    </w:p>
    <w:p w:rsidR="00761B0C" w:rsidRDefault="00494341">
      <w:pPr>
        <w:pStyle w:val="11"/>
        <w:numPr>
          <w:ilvl w:val="0"/>
          <w:numId w:val="38"/>
        </w:numPr>
        <w:tabs>
          <w:tab w:val="left" w:pos="1138"/>
        </w:tabs>
        <w:spacing w:after="0"/>
        <w:ind w:firstLine="780"/>
        <w:jc w:val="both"/>
      </w:pPr>
      <w:proofErr w:type="spellStart"/>
      <w:r>
        <w:t>негрошову</w:t>
      </w:r>
      <w:proofErr w:type="spellEnd"/>
      <w:r>
        <w:t xml:space="preserve"> компенсацію. Товариство у разі необхідності відповідно до умов договору оцінює компенсацію </w:t>
      </w:r>
      <w:proofErr w:type="spellStart"/>
      <w:r>
        <w:t>негрошовими</w:t>
      </w:r>
      <w:proofErr w:type="spellEnd"/>
      <w:r>
        <w:t xml:space="preserve"> коштами за справедливою вартістю;</w:t>
      </w:r>
    </w:p>
    <w:p w:rsidR="00761B0C" w:rsidRDefault="00494341">
      <w:pPr>
        <w:pStyle w:val="11"/>
        <w:spacing w:after="320"/>
        <w:ind w:firstLine="780"/>
        <w:jc w:val="both"/>
      </w:pPr>
      <w:r>
        <w:t>(ґ) компенсацію, що має бути сплачена клієнтові. У випадку, коли компенсація не здійснюється в обмін на товар або послугу, визначені в договорів, Товариство обліковує зазначені компенсації як зниження ціни операції, тобто суми доходу від звичайної діяльності.</w:t>
      </w:r>
    </w:p>
    <w:p w:rsidR="00761B0C" w:rsidRDefault="00494341">
      <w:pPr>
        <w:pStyle w:val="11"/>
        <w:spacing w:after="320"/>
        <w:jc w:val="both"/>
      </w:pPr>
      <w:r>
        <w:t>Сума компенсації, обіцяна в договорі, може змінюватися залежно від знижок, дисконтів, відшкодувань, набраних балів, цінових поступок, стимулів, бонусів за результатами роботи, штрафів або інших подібних чинників.</w:t>
      </w:r>
    </w:p>
    <w:p w:rsidR="00761B0C" w:rsidRDefault="00494341">
      <w:pPr>
        <w:pStyle w:val="11"/>
        <w:spacing w:after="0"/>
        <w:jc w:val="both"/>
      </w:pPr>
      <w:r>
        <w:t>Якщо компенсація, обіцяна в договорі, включає змінну суму, тоді треба оцінити суму компенсації, на яку Товариство матиме право в обмін на передачу обіцяних товарів/послуг клієнтові. МСФЗ 15 передбачає метод оцінки суми змінної компенсації:</w:t>
      </w:r>
    </w:p>
    <w:p w:rsidR="00761B0C" w:rsidRDefault="00494341">
      <w:pPr>
        <w:pStyle w:val="11"/>
        <w:spacing w:after="320"/>
        <w:ind w:firstLine="780"/>
        <w:jc w:val="both"/>
      </w:pPr>
      <w:r>
        <w:t xml:space="preserve">1) найімовірнішої </w:t>
      </w:r>
      <w:proofErr w:type="spellStart"/>
      <w:r>
        <w:t>величини—</w:t>
      </w:r>
      <w:proofErr w:type="spellEnd"/>
      <w:r>
        <w:t xml:space="preserve"> це одне, найімовірніше значення у діапазоні можливих сум компенсації (тобто один найімовірніший результат договору). Найімовірнішою сумою може бути відповідна оцінка величини змінної компенсації, якщо договір має тільки два можливих результати (наприклад, Товариство або отримує бонус за показники діяльності, або ні).</w:t>
      </w:r>
    </w:p>
    <w:p w:rsidR="00761B0C" w:rsidRDefault="00494341">
      <w:pPr>
        <w:pStyle w:val="11"/>
        <w:spacing w:after="0"/>
        <w:jc w:val="both"/>
      </w:pPr>
      <w:r>
        <w:rPr>
          <w:i/>
          <w:iCs/>
        </w:rPr>
        <w:t>Істотний компонент фінансування</w:t>
      </w:r>
    </w:p>
    <w:p w:rsidR="00761B0C" w:rsidRDefault="00494341">
      <w:pPr>
        <w:pStyle w:val="11"/>
        <w:spacing w:after="0"/>
        <w:jc w:val="both"/>
      </w:pPr>
      <w:r>
        <w:t>Істотний компонент фінансування враховується, коли вартість грошей, отримана сьогодні, реально більша, ніж цей же номінал грошових коштів, через певний період.</w:t>
      </w:r>
    </w:p>
    <w:p w:rsidR="00761B0C" w:rsidRDefault="00494341">
      <w:pPr>
        <w:pStyle w:val="11"/>
        <w:spacing w:after="0"/>
        <w:jc w:val="both"/>
      </w:pPr>
      <w:r>
        <w:t>Про існування істотного компонента фінансування свідчать, такі фактори:</w:t>
      </w:r>
    </w:p>
    <w:p w:rsidR="00761B0C" w:rsidRDefault="00494341">
      <w:pPr>
        <w:pStyle w:val="11"/>
        <w:numPr>
          <w:ilvl w:val="0"/>
          <w:numId w:val="39"/>
        </w:numPr>
        <w:tabs>
          <w:tab w:val="left" w:pos="1500"/>
        </w:tabs>
        <w:spacing w:after="0"/>
        <w:ind w:left="1440" w:hanging="540"/>
        <w:jc w:val="both"/>
      </w:pPr>
      <w:r>
        <w:t>є значна різниця тривалості часу між моментом передачі обіцяних товарів/послуг клієнтові та моментом оплати клієнтом за них;</w:t>
      </w:r>
    </w:p>
    <w:p w:rsidR="00761B0C" w:rsidRDefault="00494341">
      <w:pPr>
        <w:pStyle w:val="11"/>
        <w:numPr>
          <w:ilvl w:val="0"/>
          <w:numId w:val="39"/>
        </w:numPr>
        <w:tabs>
          <w:tab w:val="left" w:pos="1500"/>
        </w:tabs>
        <w:spacing w:after="0"/>
        <w:ind w:left="1440" w:hanging="540"/>
        <w:jc w:val="both"/>
      </w:pPr>
      <w:r>
        <w:t>є значна різниця між сумою обіцяної компенсації та ціною продажу у грошових коштах на обіцяні товари або послуги.</w:t>
      </w:r>
    </w:p>
    <w:p w:rsidR="00761B0C" w:rsidRDefault="00494341">
      <w:pPr>
        <w:pStyle w:val="11"/>
        <w:spacing w:after="0"/>
        <w:jc w:val="both"/>
      </w:pPr>
      <w:r>
        <w:t xml:space="preserve">Якщо період між передачею обіцяного товару/послуги клієнтові та оплатою за нього не більше одного року, § 63 МСФЗ 15 дозволяє не враховувати істотний </w:t>
      </w:r>
      <w:r>
        <w:lastRenderedPageBreak/>
        <w:t>компонент фінансування.</w:t>
      </w:r>
    </w:p>
    <w:p w:rsidR="00761B0C" w:rsidRDefault="00494341">
      <w:pPr>
        <w:pStyle w:val="11"/>
        <w:spacing w:after="0"/>
        <w:jc w:val="both"/>
      </w:pPr>
      <w:r>
        <w:t>Договір з клієнтом не має істотного компонента фінансування, якщо наявний будь-який з таких чинників:</w:t>
      </w:r>
    </w:p>
    <w:p w:rsidR="00761B0C" w:rsidRDefault="00494341">
      <w:pPr>
        <w:pStyle w:val="11"/>
        <w:numPr>
          <w:ilvl w:val="0"/>
          <w:numId w:val="39"/>
        </w:numPr>
        <w:tabs>
          <w:tab w:val="left" w:pos="1500"/>
        </w:tabs>
        <w:spacing w:after="0"/>
        <w:ind w:left="1440" w:hanging="540"/>
        <w:jc w:val="both"/>
      </w:pPr>
      <w:r>
        <w:t>клієнт заплатив за товари/послуги авансом і час їх передачі на розсуд клієнта;</w:t>
      </w:r>
    </w:p>
    <w:p w:rsidR="00761B0C" w:rsidRDefault="00494341">
      <w:pPr>
        <w:pStyle w:val="11"/>
        <w:numPr>
          <w:ilvl w:val="0"/>
          <w:numId w:val="39"/>
        </w:numPr>
        <w:tabs>
          <w:tab w:val="left" w:pos="1500"/>
        </w:tabs>
        <w:spacing w:after="0"/>
        <w:ind w:left="1440" w:hanging="540"/>
        <w:jc w:val="both"/>
      </w:pPr>
      <w:r>
        <w:t>значна сума обіцяної компенсації є змінною, а сума або час її отримання залежить від настання чи ненастання певної майбутньої події, яка в основному непідвладна клієнтові чи підприємству;</w:t>
      </w:r>
    </w:p>
    <w:p w:rsidR="00761B0C" w:rsidRDefault="00494341">
      <w:pPr>
        <w:pStyle w:val="11"/>
        <w:numPr>
          <w:ilvl w:val="0"/>
          <w:numId w:val="39"/>
        </w:numPr>
        <w:tabs>
          <w:tab w:val="left" w:pos="1500"/>
        </w:tabs>
        <w:spacing w:after="320"/>
        <w:ind w:left="1440" w:hanging="540"/>
        <w:jc w:val="both"/>
      </w:pPr>
      <w:r>
        <w:t>різниця між обіцяною компенсацією та ціною продажу у грошових коштах товару/послуги виникає не з причини надання фінансових коштів клієнтові або підприємству, а з інших причин, і пропорційна причині різниці.</w:t>
      </w:r>
    </w:p>
    <w:p w:rsidR="00761B0C" w:rsidRDefault="00494341">
      <w:pPr>
        <w:pStyle w:val="11"/>
        <w:spacing w:after="0"/>
        <w:jc w:val="both"/>
      </w:pPr>
      <w:r>
        <w:t>Згідно МСФЗ 15 істотний компонент фінансування враховується не тільки коли Товариство надає клієнту відстрочку у здійсненні платежу, а й коли Товариство отримує від покупця аванс та є значна різниця в часі між отриманням авансу та наданням послуги.</w:t>
      </w:r>
    </w:p>
    <w:p w:rsidR="00761B0C" w:rsidRDefault="00494341">
      <w:pPr>
        <w:pStyle w:val="11"/>
        <w:spacing w:after="320"/>
        <w:jc w:val="both"/>
      </w:pPr>
      <w:r>
        <w:t>При цьому користуються ставкою дисконтування, яка використовувалася б в окремій операції фінансування між Товариством та його клієнтом на момент укладення договору.</w:t>
      </w:r>
    </w:p>
    <w:p w:rsidR="00761B0C" w:rsidRDefault="00494341">
      <w:pPr>
        <w:pStyle w:val="11"/>
        <w:spacing w:after="0"/>
        <w:jc w:val="both"/>
      </w:pPr>
      <w:r>
        <w:t>Визнані доходи класифікуються в бухгалтерському обліку за такими групами:</w:t>
      </w:r>
    </w:p>
    <w:p w:rsidR="00761B0C" w:rsidRDefault="00494341">
      <w:pPr>
        <w:pStyle w:val="11"/>
        <w:numPr>
          <w:ilvl w:val="0"/>
          <w:numId w:val="40"/>
        </w:numPr>
        <w:tabs>
          <w:tab w:val="left" w:pos="1632"/>
        </w:tabs>
        <w:spacing w:after="0"/>
        <w:ind w:left="1340"/>
        <w:jc w:val="both"/>
      </w:pPr>
      <w:r>
        <w:t>Дохід (виручка) від реалізації продукції ;</w:t>
      </w:r>
    </w:p>
    <w:p w:rsidR="00761B0C" w:rsidRDefault="00494341">
      <w:pPr>
        <w:pStyle w:val="11"/>
        <w:numPr>
          <w:ilvl w:val="0"/>
          <w:numId w:val="40"/>
        </w:numPr>
        <w:tabs>
          <w:tab w:val="left" w:pos="1632"/>
        </w:tabs>
        <w:spacing w:after="0"/>
        <w:ind w:left="1340"/>
        <w:jc w:val="both"/>
      </w:pPr>
      <w:r>
        <w:t>Дохід (виручка) від реалізації товарів;</w:t>
      </w:r>
    </w:p>
    <w:p w:rsidR="00761B0C" w:rsidRDefault="00494341">
      <w:pPr>
        <w:pStyle w:val="11"/>
        <w:numPr>
          <w:ilvl w:val="0"/>
          <w:numId w:val="40"/>
        </w:numPr>
        <w:tabs>
          <w:tab w:val="left" w:pos="1642"/>
        </w:tabs>
        <w:spacing w:after="0"/>
        <w:ind w:left="1340"/>
        <w:jc w:val="both"/>
      </w:pPr>
      <w:r>
        <w:t>Дохід (виручка) від реалізації робіт (послуг);</w:t>
      </w:r>
    </w:p>
    <w:p w:rsidR="00761B0C" w:rsidRDefault="00494341">
      <w:pPr>
        <w:pStyle w:val="11"/>
        <w:numPr>
          <w:ilvl w:val="0"/>
          <w:numId w:val="40"/>
        </w:numPr>
        <w:tabs>
          <w:tab w:val="left" w:pos="1637"/>
        </w:tabs>
        <w:spacing w:after="0"/>
        <w:ind w:left="1340"/>
        <w:jc w:val="both"/>
      </w:pPr>
      <w:r>
        <w:t>Інший операційний дохід;</w:t>
      </w:r>
    </w:p>
    <w:p w:rsidR="00761B0C" w:rsidRDefault="00494341">
      <w:pPr>
        <w:pStyle w:val="11"/>
        <w:numPr>
          <w:ilvl w:val="0"/>
          <w:numId w:val="40"/>
        </w:numPr>
        <w:tabs>
          <w:tab w:val="left" w:pos="1637"/>
        </w:tabs>
        <w:spacing w:after="0"/>
        <w:ind w:left="1340"/>
        <w:jc w:val="both"/>
      </w:pPr>
      <w:r>
        <w:t>Фінансовий дохід;</w:t>
      </w:r>
    </w:p>
    <w:p w:rsidR="00761B0C" w:rsidRDefault="00494341">
      <w:pPr>
        <w:pStyle w:val="11"/>
        <w:numPr>
          <w:ilvl w:val="0"/>
          <w:numId w:val="40"/>
        </w:numPr>
        <w:tabs>
          <w:tab w:val="left" w:pos="1642"/>
        </w:tabs>
        <w:spacing w:after="320"/>
        <w:ind w:left="1340"/>
        <w:jc w:val="both"/>
      </w:pPr>
      <w:r>
        <w:t>Інші доходи.</w:t>
      </w:r>
    </w:p>
    <w:p w:rsidR="00761B0C" w:rsidRDefault="00494341">
      <w:pPr>
        <w:pStyle w:val="22"/>
        <w:keepNext/>
        <w:keepLines/>
        <w:numPr>
          <w:ilvl w:val="0"/>
          <w:numId w:val="41"/>
        </w:numPr>
        <w:tabs>
          <w:tab w:val="left" w:pos="1222"/>
        </w:tabs>
        <w:ind w:firstLine="700"/>
        <w:jc w:val="both"/>
      </w:pPr>
      <w:bookmarkStart w:id="18" w:name="bookmark36"/>
      <w:r>
        <w:t>Облік витрат</w:t>
      </w:r>
      <w:bookmarkEnd w:id="18"/>
    </w:p>
    <w:p w:rsidR="00761B0C" w:rsidRDefault="00494341">
      <w:pPr>
        <w:pStyle w:val="11"/>
        <w:spacing w:after="0"/>
        <w:ind w:left="140" w:firstLine="20"/>
        <w:jc w:val="both"/>
      </w:pPr>
      <w:r>
        <w:t>Облік витрат товариства передбачає визнання та розкриття у фінансовій звітності собівартості реалізованих робіт і послуг, адміністративних витрат, інших операційних витрат.</w:t>
      </w:r>
    </w:p>
    <w:p w:rsidR="00761B0C" w:rsidRDefault="00494341">
      <w:pPr>
        <w:pStyle w:val="11"/>
        <w:spacing w:after="0"/>
        <w:ind w:left="140" w:firstLine="20"/>
        <w:jc w:val="both"/>
      </w:pPr>
      <w:r>
        <w:t>Облік витрат Підприємства базується на нормах, визначених в Концептуальній основі фінансової звітності, МСБО 1 «Подання фінансової звітності», МСБО 2 «Запаси», МСБО 23 «Витрати на позики», МСБО 36 «Зменшення корисності активів», МСБО 37 «Забезпечення, умовні зобов’язання та умовні активи»,</w:t>
      </w:r>
    </w:p>
    <w:p w:rsidR="00761B0C" w:rsidRDefault="00494341">
      <w:pPr>
        <w:pStyle w:val="11"/>
        <w:spacing w:after="0"/>
      </w:pPr>
      <w:r>
        <w:t>МСФЗ 15 «Дохід від договорів з клієнтами», та національних стандартах обліку.</w:t>
      </w:r>
    </w:p>
    <w:p w:rsidR="00761B0C" w:rsidRDefault="00494341">
      <w:pPr>
        <w:pStyle w:val="11"/>
        <w:spacing w:after="0"/>
      </w:pPr>
      <w:r>
        <w:t>Товариство класифікує витрати діяльності згідно розділу 7 Концептуальної основи фінансової звітності як:</w:t>
      </w:r>
    </w:p>
    <w:p w:rsidR="00761B0C" w:rsidRDefault="00494341">
      <w:pPr>
        <w:pStyle w:val="11"/>
        <w:numPr>
          <w:ilvl w:val="0"/>
          <w:numId w:val="42"/>
        </w:numPr>
        <w:tabs>
          <w:tab w:val="left" w:pos="1066"/>
        </w:tabs>
        <w:spacing w:after="0"/>
        <w:ind w:firstLine="780"/>
        <w:jc w:val="both"/>
      </w:pPr>
      <w:r>
        <w:t>безпосередньо витрати, які виникають у ході звичайної діяльності підприємства і мають форму вибуття активів або їх амортизації та включають:</w:t>
      </w:r>
    </w:p>
    <w:p w:rsidR="00761B0C" w:rsidRDefault="00494341">
      <w:pPr>
        <w:pStyle w:val="11"/>
        <w:numPr>
          <w:ilvl w:val="0"/>
          <w:numId w:val="43"/>
        </w:numPr>
        <w:tabs>
          <w:tab w:val="left" w:pos="1044"/>
        </w:tabs>
        <w:spacing w:after="0"/>
        <w:ind w:left="840" w:hanging="60"/>
        <w:jc w:val="both"/>
      </w:pPr>
      <w:r>
        <w:t>собівартість реалізованих робіт і послуг (а саме: прямі матеріальні витрат</w:t>
      </w:r>
      <w:r w:rsidR="000B7645">
        <w:rPr>
          <w:lang w:val="ru-RU"/>
        </w:rPr>
        <w:t xml:space="preserve">и; </w:t>
      </w:r>
      <w:r>
        <w:t xml:space="preserve">витрати на оплату праці робочих основного виробництва; нарахування на фонд оплати праці робочих основного виробництва; інші прямі витрати які можна (за економічним змістом) прямо віднести до об’єкту калькулювання загальновиробничі витрати в тому числі: загальновиробничі змінні витрати (знос </w:t>
      </w:r>
      <w:r w:rsidR="00602B26" w:rsidRPr="00602B26">
        <w:rPr>
          <w:lang w:val="ru-RU"/>
        </w:rPr>
        <w:t>МШП</w:t>
      </w:r>
      <w:r w:rsidRPr="00602B26">
        <w:t xml:space="preserve">, </w:t>
      </w:r>
      <w:r>
        <w:t xml:space="preserve">списання ТЗР, витрати на теплову та електричну енергію для забезпечення технологічного процесу, водопостачання та водовідведення тощо); загальновиробничі постійні </w:t>
      </w:r>
      <w:r>
        <w:lastRenderedPageBreak/>
        <w:t>витрати (основна і додаткова зарплата лінійного персоналу, нарахування на фонд оплати праці зазначених працівників, освітлення опалення виробничих приміщень, охорона виробничих приміщень, амортизація основних засобів загальновиробничого призначення, охорону праці та техніку безпеку, витрати на поточний ремонт основних засобів загальновиробничого призначення тощо);</w:t>
      </w:r>
    </w:p>
    <w:p w:rsidR="00761B0C" w:rsidRDefault="00494341">
      <w:pPr>
        <w:pStyle w:val="11"/>
        <w:numPr>
          <w:ilvl w:val="0"/>
          <w:numId w:val="43"/>
        </w:numPr>
        <w:tabs>
          <w:tab w:val="left" w:pos="1061"/>
        </w:tabs>
        <w:spacing w:after="0"/>
        <w:ind w:firstLine="720"/>
      </w:pPr>
      <w:r>
        <w:t>адміністративні витрати;</w:t>
      </w:r>
    </w:p>
    <w:p w:rsidR="00761B0C" w:rsidRDefault="00494341">
      <w:pPr>
        <w:pStyle w:val="11"/>
        <w:numPr>
          <w:ilvl w:val="0"/>
          <w:numId w:val="43"/>
        </w:numPr>
        <w:tabs>
          <w:tab w:val="left" w:pos="1143"/>
        </w:tabs>
        <w:spacing w:after="0"/>
        <w:ind w:firstLine="720"/>
      </w:pPr>
      <w:r>
        <w:t>інші витрати операційної діяльності.</w:t>
      </w:r>
    </w:p>
    <w:p w:rsidR="00761B0C" w:rsidRDefault="00494341">
      <w:pPr>
        <w:pStyle w:val="11"/>
        <w:numPr>
          <w:ilvl w:val="0"/>
          <w:numId w:val="42"/>
        </w:numPr>
        <w:tabs>
          <w:tab w:val="left" w:pos="1090"/>
        </w:tabs>
        <w:spacing w:after="0"/>
        <w:ind w:firstLine="780"/>
        <w:jc w:val="both"/>
      </w:pPr>
      <w:r>
        <w:t>збитки, які відображають інші статті, що відповідають визначенню витрат і найчастіше відображаються у звітності без доходу, пов’язаного з їх здійсненням (надзвичайні витрати).</w:t>
      </w:r>
    </w:p>
    <w:p w:rsidR="00761B0C" w:rsidRDefault="00494341">
      <w:pPr>
        <w:pStyle w:val="11"/>
        <w:spacing w:after="140"/>
        <w:ind w:firstLine="780"/>
        <w:jc w:val="both"/>
      </w:pPr>
      <w:r>
        <w:t>Розмір загальновиробничих витрат, для цілей калькулювання вартості робіт (послуг), може визначатися як відсоток від прямих витрат. Даний відсоток визначається як співвідношення (в %) між прямими виробничими витратами (</w:t>
      </w:r>
      <w:proofErr w:type="spellStart"/>
      <w:r>
        <w:t>рах</w:t>
      </w:r>
      <w:proofErr w:type="spellEnd"/>
      <w:r>
        <w:t>. 23) та загальновиробничими витратами (</w:t>
      </w:r>
      <w:proofErr w:type="spellStart"/>
      <w:r>
        <w:t>рах</w:t>
      </w:r>
      <w:proofErr w:type="spellEnd"/>
      <w:r>
        <w:t xml:space="preserve">. 91) яке фактично склалося за попередній звітний період (півріччя, 9 місяців, рік) </w:t>
      </w:r>
      <w:r w:rsidR="000B7645">
        <w:t>згідно оборотно-</w:t>
      </w:r>
      <w:r>
        <w:t>сальдової відомості по підприємству та розраховується по формулі:</w:t>
      </w:r>
    </w:p>
    <w:p w:rsidR="00761B0C" w:rsidRPr="000B7645" w:rsidRDefault="000B7645" w:rsidP="000B7645">
      <w:pPr>
        <w:pStyle w:val="20"/>
        <w:spacing w:after="0"/>
        <w:rPr>
          <w:i/>
          <w:iCs/>
          <w:sz w:val="24"/>
          <w:szCs w:val="24"/>
          <w:u w:val="single"/>
        </w:rPr>
      </w:pPr>
      <w:r>
        <w:rPr>
          <w:i/>
          <w:iCs/>
          <w:sz w:val="24"/>
          <w:szCs w:val="24"/>
        </w:rPr>
        <w:t>%ЗВ</w:t>
      </w:r>
      <w:r w:rsidR="00494341">
        <w:rPr>
          <w:i/>
          <w:iCs/>
          <w:sz w:val="24"/>
          <w:szCs w:val="24"/>
        </w:rPr>
        <w:t xml:space="preserve"> =</w:t>
      </w:r>
      <w:r w:rsidRPr="000B7645">
        <w:rPr>
          <w:i/>
          <w:iCs/>
          <w:sz w:val="24"/>
          <w:szCs w:val="24"/>
          <w:u w:val="single"/>
        </w:rPr>
        <w:t>ЗВ</w:t>
      </w:r>
      <w:r>
        <w:rPr>
          <w:iCs/>
          <w:sz w:val="24"/>
          <w:szCs w:val="24"/>
        </w:rPr>
        <w:t>х100%</w:t>
      </w:r>
    </w:p>
    <w:p w:rsidR="000B7645" w:rsidRPr="000B7645" w:rsidRDefault="000B7645" w:rsidP="000B7645">
      <w:pPr>
        <w:pStyle w:val="20"/>
        <w:spacing w:after="0"/>
        <w:rPr>
          <w:sz w:val="24"/>
          <w:szCs w:val="24"/>
        </w:rPr>
      </w:pPr>
      <w:r w:rsidRPr="000B7645">
        <w:rPr>
          <w:i/>
          <w:iCs/>
          <w:sz w:val="24"/>
          <w:szCs w:val="24"/>
        </w:rPr>
        <w:t xml:space="preserve">           </w:t>
      </w:r>
      <w:proofErr w:type="spellStart"/>
      <w:r w:rsidRPr="000B7645">
        <w:rPr>
          <w:i/>
          <w:iCs/>
          <w:sz w:val="24"/>
          <w:szCs w:val="24"/>
        </w:rPr>
        <w:t>ПВ</w:t>
      </w:r>
      <w:proofErr w:type="spellEnd"/>
    </w:p>
    <w:p w:rsidR="000B7645" w:rsidRDefault="000B7645">
      <w:pPr>
        <w:pStyle w:val="11"/>
        <w:spacing w:after="300"/>
        <w:ind w:firstLine="720"/>
      </w:pPr>
    </w:p>
    <w:p w:rsidR="00761B0C" w:rsidRDefault="00494341">
      <w:pPr>
        <w:pStyle w:val="11"/>
        <w:spacing w:after="300"/>
        <w:ind w:firstLine="720"/>
      </w:pPr>
      <w:r>
        <w:t>Де:</w:t>
      </w:r>
    </w:p>
    <w:p w:rsidR="00761B0C" w:rsidRDefault="000B7645">
      <w:pPr>
        <w:pStyle w:val="11"/>
        <w:spacing w:after="300"/>
        <w:ind w:left="720" w:firstLine="60"/>
        <w:jc w:val="both"/>
      </w:pPr>
      <w:r>
        <w:rPr>
          <w:i/>
          <w:iCs/>
        </w:rPr>
        <w:t>%</w:t>
      </w:r>
      <w:r w:rsidR="00494341">
        <w:rPr>
          <w:i/>
          <w:iCs/>
        </w:rPr>
        <w:t>ЗВ - відсоток загальновиробничих витрат який необхідно визначити для цілей калькулювання;</w:t>
      </w:r>
    </w:p>
    <w:p w:rsidR="00761B0C" w:rsidRDefault="00494341">
      <w:pPr>
        <w:pStyle w:val="11"/>
        <w:spacing w:after="0"/>
        <w:ind w:left="720" w:firstLine="60"/>
        <w:jc w:val="both"/>
      </w:pPr>
      <w:r>
        <w:rPr>
          <w:i/>
          <w:iCs/>
        </w:rPr>
        <w:t>ЗВ — сума загальновиробничих витрат (</w:t>
      </w:r>
      <w:proofErr w:type="spellStart"/>
      <w:r>
        <w:rPr>
          <w:i/>
          <w:iCs/>
        </w:rPr>
        <w:t>рах</w:t>
      </w:r>
      <w:proofErr w:type="spellEnd"/>
      <w:r>
        <w:rPr>
          <w:i/>
          <w:iCs/>
        </w:rPr>
        <w:t xml:space="preserve"> 91) згідно </w:t>
      </w:r>
      <w:proofErr w:type="spellStart"/>
      <w:r>
        <w:rPr>
          <w:i/>
          <w:iCs/>
        </w:rPr>
        <w:t>оборотно</w:t>
      </w:r>
      <w:proofErr w:type="spellEnd"/>
      <w:r>
        <w:rPr>
          <w:i/>
          <w:iCs/>
        </w:rPr>
        <w:t xml:space="preserve"> сальдової відомості за відповідний період (півріччя, 9 місяців, рік)</w:t>
      </w:r>
    </w:p>
    <w:p w:rsidR="00761B0C" w:rsidRDefault="00494341">
      <w:pPr>
        <w:pStyle w:val="11"/>
        <w:spacing w:after="300"/>
        <w:ind w:left="720" w:firstLine="60"/>
        <w:jc w:val="both"/>
      </w:pPr>
      <w:proofErr w:type="spellStart"/>
      <w:r>
        <w:rPr>
          <w:i/>
          <w:iCs/>
        </w:rPr>
        <w:t>ПВ</w:t>
      </w:r>
      <w:proofErr w:type="spellEnd"/>
      <w:r>
        <w:rPr>
          <w:i/>
          <w:iCs/>
        </w:rPr>
        <w:t xml:space="preserve"> — сума прямих виробничих витрат (</w:t>
      </w:r>
      <w:proofErr w:type="spellStart"/>
      <w:r>
        <w:rPr>
          <w:i/>
          <w:iCs/>
        </w:rPr>
        <w:t>рах</w:t>
      </w:r>
      <w:proofErr w:type="spellEnd"/>
      <w:r>
        <w:rPr>
          <w:i/>
          <w:iCs/>
        </w:rPr>
        <w:t xml:space="preserve"> 23) згідно </w:t>
      </w:r>
      <w:proofErr w:type="spellStart"/>
      <w:r>
        <w:rPr>
          <w:i/>
          <w:iCs/>
        </w:rPr>
        <w:t>оборотно</w:t>
      </w:r>
      <w:proofErr w:type="spellEnd"/>
      <w:r>
        <w:rPr>
          <w:i/>
          <w:iCs/>
        </w:rPr>
        <w:t xml:space="preserve"> сальдової відомості за відповідний період (півріччя, 9 місяців, рік)</w:t>
      </w:r>
    </w:p>
    <w:p w:rsidR="00761B0C" w:rsidRDefault="00494341">
      <w:pPr>
        <w:pStyle w:val="11"/>
        <w:spacing w:after="0"/>
      </w:pPr>
      <w:r>
        <w:t>Визнання витрат Товариством відбувається одночасно з:</w:t>
      </w:r>
    </w:p>
    <w:p w:rsidR="00761B0C" w:rsidRDefault="00494341">
      <w:pPr>
        <w:pStyle w:val="11"/>
        <w:numPr>
          <w:ilvl w:val="0"/>
          <w:numId w:val="44"/>
        </w:numPr>
        <w:tabs>
          <w:tab w:val="left" w:pos="1114"/>
        </w:tabs>
        <w:spacing w:after="220"/>
        <w:ind w:firstLine="780"/>
        <w:jc w:val="both"/>
      </w:pPr>
      <w:r>
        <w:t>первісним визнанням зобов’язання чи збільшенням балансової вартості зобов'язання; або</w:t>
      </w:r>
    </w:p>
    <w:p w:rsidR="00761B0C" w:rsidRDefault="00494341">
      <w:pPr>
        <w:pStyle w:val="11"/>
        <w:numPr>
          <w:ilvl w:val="0"/>
          <w:numId w:val="44"/>
        </w:numPr>
        <w:tabs>
          <w:tab w:val="left" w:pos="1223"/>
        </w:tabs>
        <w:spacing w:after="320"/>
        <w:ind w:firstLine="720"/>
        <w:jc w:val="both"/>
      </w:pPr>
      <w:r>
        <w:t>припиненням визнання активу чи зменшенням балансової вартості активу.</w:t>
      </w:r>
    </w:p>
    <w:p w:rsidR="00761B0C" w:rsidRDefault="00494341">
      <w:pPr>
        <w:pStyle w:val="11"/>
        <w:spacing w:after="320"/>
        <w:jc w:val="both"/>
      </w:pPr>
      <w:r>
        <w:t>Витрати визнаються витратами певного періоду одночасно з визнанням доходу, для отримання якого вони здійснені, тобто Товариство керується принципом нарахування відповідно до якого всі доходи й витрати, що їх відносять до звітного періоду, мають відображатися в обліку в цьому самому періоді незалежно від того, коли фактично були отримані чи сплачені кошти за ними.</w:t>
      </w:r>
    </w:p>
    <w:p w:rsidR="00761B0C" w:rsidRDefault="00494341">
      <w:pPr>
        <w:pStyle w:val="11"/>
        <w:spacing w:after="320"/>
        <w:jc w:val="both"/>
      </w:pPr>
      <w:r>
        <w:t>Інші види витрат (адміністративні, інші витрати операційної діяльності) визнаються в обліку в порядку, передбаченому у відповідних розділах даного документу (наприклад, основні засоби, дебіторська заборгованість та інші). Витрати, пов’язані зі сплатою податків, зборів та інших платежів, включаються до складу інших витрат операційної діяльності.</w:t>
      </w:r>
    </w:p>
    <w:p w:rsidR="00761B0C" w:rsidRDefault="00494341">
      <w:pPr>
        <w:pStyle w:val="11"/>
        <w:spacing w:after="320"/>
        <w:jc w:val="both"/>
      </w:pPr>
      <w:r>
        <w:lastRenderedPageBreak/>
        <w:t>Віднесення на витрати витрат по нарахуванню податків і зборів проводиться у тих періодах, до яких вони мають відношення, незважаючи на строки подання звітності.</w:t>
      </w:r>
    </w:p>
    <w:p w:rsidR="00761B0C" w:rsidRDefault="00494341">
      <w:pPr>
        <w:pStyle w:val="11"/>
        <w:spacing w:after="320"/>
        <w:jc w:val="both"/>
      </w:pPr>
      <w:r>
        <w:t>Витрати на створення резерву кредитних збитків коригується щороку станом на 31.12.20ХХ.</w:t>
      </w:r>
    </w:p>
    <w:p w:rsidR="00761B0C" w:rsidRDefault="00494341">
      <w:pPr>
        <w:pStyle w:val="11"/>
        <w:spacing w:after="640"/>
        <w:jc w:val="both"/>
      </w:pPr>
      <w:r>
        <w:t>Коригування витрат на створення забезпечень відбувається на дату зміни подій щодо яких це забезпечення створювалось.</w:t>
      </w:r>
    </w:p>
    <w:p w:rsidR="00761B0C" w:rsidRDefault="00494341">
      <w:pPr>
        <w:pStyle w:val="22"/>
        <w:keepNext/>
        <w:keepLines/>
        <w:numPr>
          <w:ilvl w:val="0"/>
          <w:numId w:val="41"/>
        </w:numPr>
        <w:tabs>
          <w:tab w:val="left" w:pos="1124"/>
        </w:tabs>
        <w:ind w:firstLine="640"/>
        <w:jc w:val="both"/>
      </w:pPr>
      <w:bookmarkStart w:id="19" w:name="bookmark38"/>
      <w:r>
        <w:t>Взаємозалік.</w:t>
      </w:r>
      <w:bookmarkEnd w:id="19"/>
    </w:p>
    <w:p w:rsidR="00761B0C" w:rsidRDefault="00494341">
      <w:pPr>
        <w:pStyle w:val="11"/>
        <w:spacing w:after="0"/>
        <w:jc w:val="both"/>
      </w:pPr>
      <w:r>
        <w:t>Взаємозалік фінансових активів та зобов’язань, з подальшим включенням до звіту про фінансовий стан лише їхньої чистої суми, може здійснюватися лише у випадку існування юридично визначеного права взаємозаліку визнаних сум, коли є намір провести розрахунок на основі чистої суми або одночасно реалізувати актив та розрахуватися за зобов’язаннями. Таке право на взаємозалік (а) не повинне залежати від майбутньої події та (б) повинне мати юридичну силу виконання в усіх наступних обставинах:</w:t>
      </w:r>
    </w:p>
    <w:p w:rsidR="00761B0C" w:rsidRDefault="00494341">
      <w:pPr>
        <w:pStyle w:val="11"/>
        <w:numPr>
          <w:ilvl w:val="0"/>
          <w:numId w:val="45"/>
        </w:numPr>
        <w:tabs>
          <w:tab w:val="left" w:pos="1217"/>
        </w:tabs>
        <w:spacing w:after="0"/>
        <w:ind w:firstLine="800"/>
        <w:jc w:val="both"/>
      </w:pPr>
      <w:r>
        <w:t>у ході нормального ведення бізнесу,</w:t>
      </w:r>
    </w:p>
    <w:p w:rsidR="00761B0C" w:rsidRDefault="00494341">
      <w:pPr>
        <w:pStyle w:val="11"/>
        <w:numPr>
          <w:ilvl w:val="0"/>
          <w:numId w:val="45"/>
        </w:numPr>
        <w:tabs>
          <w:tab w:val="left" w:pos="1294"/>
        </w:tabs>
        <w:spacing w:after="0"/>
        <w:ind w:firstLine="800"/>
        <w:jc w:val="both"/>
      </w:pPr>
      <w:r>
        <w:t xml:space="preserve">у разі невиконання зобов’язань з платежів (події </w:t>
      </w:r>
      <w:proofErr w:type="spellStart"/>
      <w:r>
        <w:t>дефолту</w:t>
      </w:r>
      <w:proofErr w:type="spellEnd"/>
      <w:r>
        <w:t>) та</w:t>
      </w:r>
    </w:p>
    <w:p w:rsidR="00761B0C" w:rsidRDefault="00494341">
      <w:pPr>
        <w:pStyle w:val="11"/>
        <w:numPr>
          <w:ilvl w:val="0"/>
          <w:numId w:val="45"/>
        </w:numPr>
        <w:tabs>
          <w:tab w:val="left" w:pos="1370"/>
        </w:tabs>
        <w:spacing w:after="320"/>
        <w:ind w:firstLine="800"/>
        <w:jc w:val="both"/>
      </w:pPr>
      <w:r>
        <w:t>у випадку неплатоспроможності чи банкрутства.</w:t>
      </w:r>
    </w:p>
    <w:p w:rsidR="00761B0C" w:rsidRDefault="00494341">
      <w:pPr>
        <w:pStyle w:val="22"/>
        <w:keepNext/>
        <w:keepLines/>
        <w:numPr>
          <w:ilvl w:val="0"/>
          <w:numId w:val="41"/>
        </w:numPr>
        <w:tabs>
          <w:tab w:val="left" w:pos="1129"/>
        </w:tabs>
        <w:ind w:firstLine="640"/>
        <w:jc w:val="both"/>
      </w:pPr>
      <w:bookmarkStart w:id="20" w:name="bookmark40"/>
      <w:r>
        <w:t>Власний капітал</w:t>
      </w:r>
      <w:bookmarkEnd w:id="20"/>
    </w:p>
    <w:p w:rsidR="00761B0C" w:rsidRDefault="00494341">
      <w:pPr>
        <w:pStyle w:val="11"/>
        <w:spacing w:after="0"/>
        <w:jc w:val="both"/>
      </w:pPr>
      <w:r>
        <w:t>Зареєстрований (пайовий) капітал зазначається виключно у розмірі, що був затверджений учасниками Товариства про пройшов державну реєстрацію.</w:t>
      </w:r>
    </w:p>
    <w:p w:rsidR="00761B0C" w:rsidRDefault="00494341">
      <w:pPr>
        <w:pStyle w:val="11"/>
        <w:spacing w:after="0"/>
        <w:jc w:val="both"/>
      </w:pPr>
      <w:r>
        <w:t>До резервного капіталу проводяться відрахування відповідно до встановлених законодавчих норм чи норм Статуту.</w:t>
      </w:r>
    </w:p>
    <w:p w:rsidR="00761B0C" w:rsidRDefault="00494341">
      <w:pPr>
        <w:pStyle w:val="11"/>
        <w:spacing w:after="320"/>
        <w:jc w:val="both"/>
      </w:pPr>
      <w:r>
        <w:t>Відрахування до додаткового капіталу також проводиться відповідно до вимог законодавства та вимог Статуту чи рішень учасників.</w:t>
      </w:r>
    </w:p>
    <w:p w:rsidR="00761B0C" w:rsidRDefault="00494341">
      <w:pPr>
        <w:pStyle w:val="11"/>
        <w:spacing w:after="320"/>
        <w:ind w:firstLine="640"/>
        <w:jc w:val="both"/>
      </w:pPr>
      <w:r>
        <w:rPr>
          <w:b/>
          <w:bCs/>
          <w:i/>
          <w:iCs/>
        </w:rPr>
        <w:t>21.</w:t>
      </w:r>
      <w:r w:rsidR="000B7645">
        <w:rPr>
          <w:b/>
          <w:bCs/>
          <w:i/>
          <w:iCs/>
        </w:rPr>
        <w:t xml:space="preserve"> </w:t>
      </w:r>
      <w:r>
        <w:rPr>
          <w:b/>
          <w:bCs/>
          <w:i/>
          <w:iCs/>
        </w:rPr>
        <w:t>Пов‘язані особи</w:t>
      </w:r>
    </w:p>
    <w:p w:rsidR="00761B0C" w:rsidRDefault="00494341">
      <w:pPr>
        <w:pStyle w:val="11"/>
        <w:spacing w:after="60" w:line="324" w:lineRule="exact"/>
        <w:jc w:val="both"/>
      </w:pPr>
      <w:r>
        <w:t xml:space="preserve">До пов’язаних сторін Товариства належать: учасники Товариства у т.ч. кінцеві </w:t>
      </w:r>
      <w:proofErr w:type="spellStart"/>
      <w:r>
        <w:t>бенефіциари</w:t>
      </w:r>
      <w:proofErr w:type="spellEnd"/>
      <w:r>
        <w:t>, ключовий управлінський персонал та члени їх сімей.</w:t>
      </w:r>
    </w:p>
    <w:p w:rsidR="00761B0C" w:rsidRDefault="00494341">
      <w:pPr>
        <w:pStyle w:val="11"/>
        <w:spacing w:after="380" w:line="324" w:lineRule="exact"/>
        <w:jc w:val="both"/>
      </w:pPr>
      <w:r>
        <w:t>У Примітка до фінансової звітності необхідно проводити розкриття про операції з пов‘язаними особами відповідно до МСБО 24 «Пов‘язані особи».</w:t>
      </w:r>
    </w:p>
    <w:p w:rsidR="00761B0C" w:rsidRDefault="00494341">
      <w:pPr>
        <w:pStyle w:val="22"/>
        <w:keepNext/>
        <w:keepLines/>
        <w:numPr>
          <w:ilvl w:val="0"/>
          <w:numId w:val="46"/>
        </w:numPr>
        <w:tabs>
          <w:tab w:val="left" w:pos="1099"/>
          <w:tab w:val="left" w:pos="1106"/>
        </w:tabs>
        <w:spacing w:after="100" w:line="322" w:lineRule="exact"/>
        <w:ind w:firstLine="580"/>
        <w:jc w:val="both"/>
      </w:pPr>
      <w:bookmarkStart w:id="21" w:name="bookmark42"/>
      <w:r>
        <w:t>Зміна облікової політики.</w:t>
      </w:r>
      <w:bookmarkEnd w:id="21"/>
    </w:p>
    <w:p w:rsidR="00761B0C" w:rsidRDefault="00494341">
      <w:pPr>
        <w:pStyle w:val="11"/>
        <w:spacing w:after="100" w:line="322" w:lineRule="exact"/>
        <w:jc w:val="both"/>
      </w:pPr>
      <w:r>
        <w:t>На основі принципу послідовності облікова політика Товариства має передбачати постійне (із року в рік) застосування прийнятої стабільної облікової політики.</w:t>
      </w:r>
    </w:p>
    <w:p w:rsidR="00761B0C" w:rsidRDefault="00494341">
      <w:pPr>
        <w:pStyle w:val="11"/>
        <w:spacing w:after="60" w:line="322" w:lineRule="exact"/>
        <w:jc w:val="both"/>
      </w:pPr>
      <w:r>
        <w:t>Змінити облікову політику Товариство може у виняткових випадках, прямо встановлених в МСФЗ. Перегляд облікової політики має бути обґрунтований.</w:t>
      </w:r>
    </w:p>
    <w:p w:rsidR="00761B0C" w:rsidRDefault="00494341">
      <w:pPr>
        <w:pStyle w:val="11"/>
        <w:spacing w:after="60" w:line="322" w:lineRule="exact"/>
        <w:jc w:val="both"/>
      </w:pPr>
      <w:r>
        <w:t>Облікова політика товариства може змінюватися у разі:</w:t>
      </w:r>
    </w:p>
    <w:p w:rsidR="00761B0C" w:rsidRDefault="00494341">
      <w:pPr>
        <w:pStyle w:val="11"/>
        <w:numPr>
          <w:ilvl w:val="0"/>
          <w:numId w:val="47"/>
        </w:numPr>
        <w:tabs>
          <w:tab w:val="left" w:pos="730"/>
          <w:tab w:val="left" w:pos="730"/>
        </w:tabs>
        <w:spacing w:after="60" w:line="323" w:lineRule="exact"/>
        <w:ind w:firstLine="380"/>
        <w:jc w:val="both"/>
      </w:pPr>
      <w:r>
        <w:t>змін у МСБО та/чи МСФЗ;</w:t>
      </w:r>
    </w:p>
    <w:p w:rsidR="00761B0C" w:rsidRDefault="00494341">
      <w:pPr>
        <w:pStyle w:val="11"/>
        <w:numPr>
          <w:ilvl w:val="0"/>
          <w:numId w:val="47"/>
        </w:numPr>
        <w:tabs>
          <w:tab w:val="left" w:pos="730"/>
          <w:tab w:val="left" w:pos="730"/>
        </w:tabs>
        <w:spacing w:after="60" w:line="323" w:lineRule="exact"/>
        <w:ind w:firstLine="380"/>
        <w:jc w:val="both"/>
      </w:pPr>
      <w:r>
        <w:t>змін у підходах Товариства щодо певних ділянок обліку.</w:t>
      </w:r>
    </w:p>
    <w:p w:rsidR="00761B0C" w:rsidRDefault="00494341">
      <w:pPr>
        <w:pStyle w:val="11"/>
        <w:spacing w:after="380" w:line="323" w:lineRule="exact"/>
        <w:jc w:val="both"/>
      </w:pPr>
      <w:r>
        <w:t xml:space="preserve">Перегляд окремих положень облікової політики також можливий за умови, якщо зміни облікової політики забезпечать більш достовірне відображення подій </w:t>
      </w:r>
      <w:r>
        <w:lastRenderedPageBreak/>
        <w:t>(господарських операцій) у бухгалтерському обліку і фінансовій звітності. Цей факт має бути підтверджений відповідними обґрунтуваннями бухгалтерської служби (бухгалтера).</w:t>
      </w:r>
    </w:p>
    <w:p w:rsidR="00761B0C" w:rsidRDefault="00494341">
      <w:pPr>
        <w:pStyle w:val="11"/>
        <w:spacing w:after="380" w:line="324" w:lineRule="exact"/>
        <w:jc w:val="both"/>
      </w:pPr>
      <w:r>
        <w:t xml:space="preserve">Облікова політика товариства та її зміни наводяться у примітках до річної фінансової звітності (у формі опису або з </w:t>
      </w:r>
      <w:proofErr w:type="spellStart"/>
      <w:r>
        <w:t>долученням</w:t>
      </w:r>
      <w:proofErr w:type="spellEnd"/>
      <w:r>
        <w:t xml:space="preserve"> до звітності копії розпорядчого документа про установлення або зміну облікової політики).</w:t>
      </w:r>
    </w:p>
    <w:p w:rsidR="00761B0C" w:rsidRDefault="00494341">
      <w:pPr>
        <w:pStyle w:val="11"/>
        <w:spacing w:after="80" w:line="322" w:lineRule="exact"/>
        <w:ind w:left="1000" w:hanging="400"/>
        <w:jc w:val="both"/>
      </w:pPr>
      <w:r>
        <w:rPr>
          <w:b/>
          <w:bCs/>
        </w:rPr>
        <w:t>23.</w:t>
      </w:r>
      <w:r>
        <w:t>Контроль за виконанням наказу про облікову політику залишаю за собою.</w:t>
      </w:r>
    </w:p>
    <w:p w:rsidR="000B7645" w:rsidRDefault="000B7645">
      <w:pPr>
        <w:pStyle w:val="11"/>
        <w:spacing w:after="80" w:line="322" w:lineRule="exact"/>
        <w:ind w:left="1000" w:hanging="400"/>
        <w:jc w:val="both"/>
      </w:pPr>
    </w:p>
    <w:p w:rsidR="000B7645" w:rsidRDefault="000B7645">
      <w:pPr>
        <w:pStyle w:val="11"/>
        <w:spacing w:after="80" w:line="322" w:lineRule="exact"/>
        <w:ind w:left="1000" w:hanging="400"/>
        <w:jc w:val="both"/>
      </w:pPr>
    </w:p>
    <w:p w:rsidR="000B7645" w:rsidRDefault="000B7645">
      <w:pPr>
        <w:pStyle w:val="11"/>
        <w:spacing w:after="80" w:line="322" w:lineRule="exact"/>
        <w:ind w:left="1000" w:hanging="400"/>
        <w:jc w:val="both"/>
      </w:pPr>
    </w:p>
    <w:p w:rsidR="000B7645" w:rsidRDefault="000B7645">
      <w:pPr>
        <w:pStyle w:val="11"/>
        <w:spacing w:after="80" w:line="322" w:lineRule="exact"/>
        <w:ind w:left="1000" w:hanging="400"/>
        <w:jc w:val="both"/>
      </w:pPr>
      <w:r>
        <w:t>Директор                                                                         М.В. Кравченко</w:t>
      </w:r>
    </w:p>
    <w:sectPr w:rsidR="000B7645" w:rsidSect="00BD76BB">
      <w:pgSz w:w="11900" w:h="16840"/>
      <w:pgMar w:top="421" w:right="441" w:bottom="307" w:left="1610"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27C" w:rsidRDefault="005A127C">
      <w:r>
        <w:separator/>
      </w:r>
    </w:p>
  </w:endnote>
  <w:endnote w:type="continuationSeparator" w:id="0">
    <w:p w:rsidR="005A127C" w:rsidRDefault="005A1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27C" w:rsidRDefault="005A127C"/>
  </w:footnote>
  <w:footnote w:type="continuationSeparator" w:id="0">
    <w:p w:rsidR="005A127C" w:rsidRDefault="005A127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07C"/>
    <w:multiLevelType w:val="multilevel"/>
    <w:tmpl w:val="151A0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06120"/>
    <w:multiLevelType w:val="multilevel"/>
    <w:tmpl w:val="B0460B8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068B9"/>
    <w:multiLevelType w:val="multilevel"/>
    <w:tmpl w:val="859AF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C24DC2"/>
    <w:multiLevelType w:val="multilevel"/>
    <w:tmpl w:val="7F3ED04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032776"/>
    <w:multiLevelType w:val="multilevel"/>
    <w:tmpl w:val="2A2A00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A07879"/>
    <w:multiLevelType w:val="multilevel"/>
    <w:tmpl w:val="1F382C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CD0AB1"/>
    <w:multiLevelType w:val="multilevel"/>
    <w:tmpl w:val="CE8ED5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1047CB"/>
    <w:multiLevelType w:val="multilevel"/>
    <w:tmpl w:val="077EB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D3B3D"/>
    <w:multiLevelType w:val="multilevel"/>
    <w:tmpl w:val="A39C18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807120"/>
    <w:multiLevelType w:val="multilevel"/>
    <w:tmpl w:val="611858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97612E"/>
    <w:multiLevelType w:val="multilevel"/>
    <w:tmpl w:val="D3EECFD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E973A3"/>
    <w:multiLevelType w:val="multilevel"/>
    <w:tmpl w:val="2D2C497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3945AD"/>
    <w:multiLevelType w:val="multilevel"/>
    <w:tmpl w:val="89C02A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442810"/>
    <w:multiLevelType w:val="multilevel"/>
    <w:tmpl w:val="51405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327F16"/>
    <w:multiLevelType w:val="multilevel"/>
    <w:tmpl w:val="A65EFB4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867CC5"/>
    <w:multiLevelType w:val="multilevel"/>
    <w:tmpl w:val="E008186A"/>
    <w:lvl w:ilvl="0">
      <w:start w:val="2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A42DB8"/>
    <w:multiLevelType w:val="multilevel"/>
    <w:tmpl w:val="4F90D23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E10254"/>
    <w:multiLevelType w:val="multilevel"/>
    <w:tmpl w:val="F40C22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FB0858"/>
    <w:multiLevelType w:val="multilevel"/>
    <w:tmpl w:val="939A25A6"/>
    <w:lvl w:ilvl="0">
      <w:start w:val="15"/>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D12204"/>
    <w:multiLevelType w:val="multilevel"/>
    <w:tmpl w:val="7236229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5940A6"/>
    <w:multiLevelType w:val="multilevel"/>
    <w:tmpl w:val="E2D827C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C44A9F"/>
    <w:multiLevelType w:val="multilevel"/>
    <w:tmpl w:val="E76C9A2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FF1EBD"/>
    <w:multiLevelType w:val="multilevel"/>
    <w:tmpl w:val="D89EB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FB5B1A"/>
    <w:multiLevelType w:val="multilevel"/>
    <w:tmpl w:val="820C6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D0252B"/>
    <w:multiLevelType w:val="multilevel"/>
    <w:tmpl w:val="579C5C1C"/>
    <w:lvl w:ilvl="0">
      <w:start w:val="14"/>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6F0C77"/>
    <w:multiLevelType w:val="multilevel"/>
    <w:tmpl w:val="EB62A956"/>
    <w:lvl w:ilvl="0">
      <w:start w:val="18"/>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4F7CEC"/>
    <w:multiLevelType w:val="multilevel"/>
    <w:tmpl w:val="9C20E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97A74"/>
    <w:multiLevelType w:val="multilevel"/>
    <w:tmpl w:val="2362BDB6"/>
    <w:lvl w:ilvl="0">
      <w:start w:val="1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271848"/>
    <w:multiLevelType w:val="multilevel"/>
    <w:tmpl w:val="4EA22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0A1FCD"/>
    <w:multiLevelType w:val="multilevel"/>
    <w:tmpl w:val="733AD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F0057C"/>
    <w:multiLevelType w:val="multilevel"/>
    <w:tmpl w:val="30EC234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2400CB"/>
    <w:multiLevelType w:val="multilevel"/>
    <w:tmpl w:val="2F2C09A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63424C"/>
    <w:multiLevelType w:val="multilevel"/>
    <w:tmpl w:val="4AC01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EE5867"/>
    <w:multiLevelType w:val="multilevel"/>
    <w:tmpl w:val="527267F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1B55B0"/>
    <w:multiLevelType w:val="multilevel"/>
    <w:tmpl w:val="0DBC56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88277E"/>
    <w:multiLevelType w:val="multilevel"/>
    <w:tmpl w:val="7944C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3A440F"/>
    <w:multiLevelType w:val="multilevel"/>
    <w:tmpl w:val="69961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6F0C82"/>
    <w:multiLevelType w:val="multilevel"/>
    <w:tmpl w:val="03B207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A01FEE"/>
    <w:multiLevelType w:val="multilevel"/>
    <w:tmpl w:val="6178C7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BB7EE9"/>
    <w:multiLevelType w:val="multilevel"/>
    <w:tmpl w:val="28CEE84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991A10"/>
    <w:multiLevelType w:val="multilevel"/>
    <w:tmpl w:val="11E269A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9D843D7"/>
    <w:multiLevelType w:val="multilevel"/>
    <w:tmpl w:val="93B2B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1145B7"/>
    <w:multiLevelType w:val="multilevel"/>
    <w:tmpl w:val="66BCA4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D47C5C"/>
    <w:multiLevelType w:val="multilevel"/>
    <w:tmpl w:val="3ED869D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724FE5"/>
    <w:multiLevelType w:val="multilevel"/>
    <w:tmpl w:val="874AB39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F782D42"/>
    <w:multiLevelType w:val="multilevel"/>
    <w:tmpl w:val="D1B6E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9B1337"/>
    <w:multiLevelType w:val="multilevel"/>
    <w:tmpl w:val="9D4A8C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38"/>
  </w:num>
  <w:num w:numId="4">
    <w:abstractNumId w:val="43"/>
  </w:num>
  <w:num w:numId="5">
    <w:abstractNumId w:val="32"/>
  </w:num>
  <w:num w:numId="6">
    <w:abstractNumId w:val="0"/>
  </w:num>
  <w:num w:numId="7">
    <w:abstractNumId w:val="44"/>
  </w:num>
  <w:num w:numId="8">
    <w:abstractNumId w:val="30"/>
  </w:num>
  <w:num w:numId="9">
    <w:abstractNumId w:val="22"/>
  </w:num>
  <w:num w:numId="10">
    <w:abstractNumId w:val="4"/>
  </w:num>
  <w:num w:numId="11">
    <w:abstractNumId w:val="27"/>
  </w:num>
  <w:num w:numId="12">
    <w:abstractNumId w:val="28"/>
  </w:num>
  <w:num w:numId="13">
    <w:abstractNumId w:val="16"/>
  </w:num>
  <w:num w:numId="14">
    <w:abstractNumId w:val="37"/>
  </w:num>
  <w:num w:numId="15">
    <w:abstractNumId w:val="14"/>
  </w:num>
  <w:num w:numId="16">
    <w:abstractNumId w:val="21"/>
  </w:num>
  <w:num w:numId="17">
    <w:abstractNumId w:val="10"/>
  </w:num>
  <w:num w:numId="18">
    <w:abstractNumId w:val="19"/>
  </w:num>
  <w:num w:numId="19">
    <w:abstractNumId w:val="23"/>
  </w:num>
  <w:num w:numId="20">
    <w:abstractNumId w:val="5"/>
  </w:num>
  <w:num w:numId="21">
    <w:abstractNumId w:val="40"/>
  </w:num>
  <w:num w:numId="22">
    <w:abstractNumId w:val="24"/>
  </w:num>
  <w:num w:numId="23">
    <w:abstractNumId w:val="8"/>
  </w:num>
  <w:num w:numId="24">
    <w:abstractNumId w:val="12"/>
  </w:num>
  <w:num w:numId="25">
    <w:abstractNumId w:val="11"/>
  </w:num>
  <w:num w:numId="26">
    <w:abstractNumId w:val="9"/>
  </w:num>
  <w:num w:numId="27">
    <w:abstractNumId w:val="20"/>
  </w:num>
  <w:num w:numId="28">
    <w:abstractNumId w:val="2"/>
  </w:num>
  <w:num w:numId="29">
    <w:abstractNumId w:val="41"/>
  </w:num>
  <w:num w:numId="30">
    <w:abstractNumId w:val="18"/>
  </w:num>
  <w:num w:numId="31">
    <w:abstractNumId w:val="34"/>
  </w:num>
  <w:num w:numId="32">
    <w:abstractNumId w:val="45"/>
  </w:num>
  <w:num w:numId="33">
    <w:abstractNumId w:val="36"/>
  </w:num>
  <w:num w:numId="34">
    <w:abstractNumId w:val="31"/>
  </w:num>
  <w:num w:numId="35">
    <w:abstractNumId w:val="13"/>
  </w:num>
  <w:num w:numId="36">
    <w:abstractNumId w:val="39"/>
  </w:num>
  <w:num w:numId="37">
    <w:abstractNumId w:val="29"/>
  </w:num>
  <w:num w:numId="38">
    <w:abstractNumId w:val="1"/>
  </w:num>
  <w:num w:numId="39">
    <w:abstractNumId w:val="26"/>
  </w:num>
  <w:num w:numId="40">
    <w:abstractNumId w:val="35"/>
  </w:num>
  <w:num w:numId="41">
    <w:abstractNumId w:val="25"/>
  </w:num>
  <w:num w:numId="42">
    <w:abstractNumId w:val="33"/>
  </w:num>
  <w:num w:numId="43">
    <w:abstractNumId w:val="46"/>
  </w:num>
  <w:num w:numId="44">
    <w:abstractNumId w:val="42"/>
  </w:num>
  <w:num w:numId="45">
    <w:abstractNumId w:val="17"/>
  </w:num>
  <w:num w:numId="46">
    <w:abstractNumId w:val="15"/>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61B0C"/>
    <w:rsid w:val="000B7645"/>
    <w:rsid w:val="001265AE"/>
    <w:rsid w:val="00277D29"/>
    <w:rsid w:val="00394A3B"/>
    <w:rsid w:val="00494341"/>
    <w:rsid w:val="005A127C"/>
    <w:rsid w:val="00602B26"/>
    <w:rsid w:val="00761B0C"/>
    <w:rsid w:val="00930FF9"/>
    <w:rsid w:val="00BD76BB"/>
    <w:rsid w:val="00FB4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76B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BD76BB"/>
    <w:rPr>
      <w:rFonts w:ascii="Times New Roman" w:eastAsia="Times New Roman" w:hAnsi="Times New Roman" w:cs="Times New Roman"/>
      <w:b w:val="0"/>
      <w:bCs w:val="0"/>
      <w:i w:val="0"/>
      <w:iCs w:val="0"/>
      <w:smallCaps w:val="0"/>
      <w:strike w:val="0"/>
      <w:sz w:val="92"/>
      <w:szCs w:val="92"/>
      <w:u w:val="none"/>
    </w:rPr>
  </w:style>
  <w:style w:type="character" w:customStyle="1" w:styleId="1">
    <w:name w:val="Заголовок №1_"/>
    <w:basedOn w:val="a0"/>
    <w:link w:val="10"/>
    <w:rsid w:val="00BD76BB"/>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BD76BB"/>
    <w:rPr>
      <w:rFonts w:ascii="Times New Roman" w:eastAsia="Times New Roman" w:hAnsi="Times New Roman" w:cs="Times New Roman"/>
      <w:b w:val="0"/>
      <w:bCs w:val="0"/>
      <w:i w:val="0"/>
      <w:iCs w:val="0"/>
      <w:smallCaps w:val="0"/>
      <w:strike w:val="0"/>
      <w:sz w:val="22"/>
      <w:szCs w:val="22"/>
      <w:u w:val="none"/>
    </w:rPr>
  </w:style>
  <w:style w:type="character" w:customStyle="1" w:styleId="a3">
    <w:name w:val="Основной текст_"/>
    <w:basedOn w:val="a0"/>
    <w:link w:val="11"/>
    <w:rsid w:val="00BD76BB"/>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BD76BB"/>
    <w:rPr>
      <w:rFonts w:ascii="Times New Roman" w:eastAsia="Times New Roman" w:hAnsi="Times New Roman" w:cs="Times New Roman"/>
      <w:b/>
      <w:bCs/>
      <w:i/>
      <w:iCs/>
      <w:smallCaps w:val="0"/>
      <w:strike w:val="0"/>
      <w:sz w:val="28"/>
      <w:szCs w:val="28"/>
      <w:u w:val="none"/>
    </w:rPr>
  </w:style>
  <w:style w:type="character" w:customStyle="1" w:styleId="a4">
    <w:name w:val="Подпись к таблице_"/>
    <w:basedOn w:val="a0"/>
    <w:link w:val="a5"/>
    <w:rsid w:val="00BD76BB"/>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sid w:val="00BD76BB"/>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BD76BB"/>
    <w:rPr>
      <w:rFonts w:ascii="Times New Roman" w:eastAsia="Times New Roman" w:hAnsi="Times New Roman" w:cs="Times New Roman"/>
      <w:sz w:val="92"/>
      <w:szCs w:val="92"/>
    </w:rPr>
  </w:style>
  <w:style w:type="paragraph" w:customStyle="1" w:styleId="10">
    <w:name w:val="Заголовок №1"/>
    <w:basedOn w:val="a"/>
    <w:link w:val="1"/>
    <w:rsid w:val="00BD76BB"/>
    <w:pPr>
      <w:spacing w:after="420" w:line="180" w:lineRule="auto"/>
      <w:ind w:firstLine="640"/>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BD76BB"/>
    <w:pPr>
      <w:spacing w:after="640"/>
    </w:pPr>
    <w:rPr>
      <w:rFonts w:ascii="Times New Roman" w:eastAsia="Times New Roman" w:hAnsi="Times New Roman" w:cs="Times New Roman"/>
      <w:sz w:val="22"/>
      <w:szCs w:val="22"/>
    </w:rPr>
  </w:style>
  <w:style w:type="paragraph" w:customStyle="1" w:styleId="11">
    <w:name w:val="Основной текст1"/>
    <w:basedOn w:val="a"/>
    <w:link w:val="a3"/>
    <w:rsid w:val="00BD76BB"/>
    <w:pPr>
      <w:spacing w:after="160"/>
    </w:pPr>
    <w:rPr>
      <w:rFonts w:ascii="Times New Roman" w:eastAsia="Times New Roman" w:hAnsi="Times New Roman" w:cs="Times New Roman"/>
      <w:sz w:val="28"/>
      <w:szCs w:val="28"/>
    </w:rPr>
  </w:style>
  <w:style w:type="paragraph" w:customStyle="1" w:styleId="22">
    <w:name w:val="Заголовок №2"/>
    <w:basedOn w:val="a"/>
    <w:link w:val="21"/>
    <w:rsid w:val="00BD76BB"/>
    <w:pPr>
      <w:ind w:firstLine="470"/>
      <w:outlineLvl w:val="1"/>
    </w:pPr>
    <w:rPr>
      <w:rFonts w:ascii="Times New Roman" w:eastAsia="Times New Roman" w:hAnsi="Times New Roman" w:cs="Times New Roman"/>
      <w:b/>
      <w:bCs/>
      <w:i/>
      <w:iCs/>
      <w:sz w:val="28"/>
      <w:szCs w:val="28"/>
    </w:rPr>
  </w:style>
  <w:style w:type="paragraph" w:customStyle="1" w:styleId="a5">
    <w:name w:val="Подпись к таблице"/>
    <w:basedOn w:val="a"/>
    <w:link w:val="a4"/>
    <w:rsid w:val="00BD76BB"/>
    <w:rPr>
      <w:rFonts w:ascii="Times New Roman" w:eastAsia="Times New Roman" w:hAnsi="Times New Roman" w:cs="Times New Roman"/>
      <w:sz w:val="28"/>
      <w:szCs w:val="28"/>
    </w:rPr>
  </w:style>
  <w:style w:type="paragraph" w:customStyle="1" w:styleId="a7">
    <w:name w:val="Другое"/>
    <w:basedOn w:val="a"/>
    <w:link w:val="a6"/>
    <w:rsid w:val="00BD76BB"/>
    <w:pPr>
      <w:spacing w:after="160"/>
    </w:pPr>
    <w:rPr>
      <w:rFonts w:ascii="Times New Roman" w:eastAsia="Times New Roman" w:hAnsi="Times New Roman" w:cs="Times New Roman"/>
      <w:sz w:val="28"/>
      <w:szCs w:val="28"/>
    </w:rPr>
  </w:style>
  <w:style w:type="character" w:styleId="a8">
    <w:name w:val="Hyperlink"/>
    <w:basedOn w:val="a0"/>
    <w:uiPriority w:val="99"/>
    <w:unhideWhenUsed/>
    <w:rsid w:val="001265AE"/>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svsdnipro.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13301</Words>
  <Characters>75818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Басанец Юрий Михайлович</dc:creator>
  <cp:lastModifiedBy>r.semenov</cp:lastModifiedBy>
  <cp:revision>2</cp:revision>
  <cp:lastPrinted>2025-08-04T12:28:00Z</cp:lastPrinted>
  <dcterms:created xsi:type="dcterms:W3CDTF">2025-08-04T13:47:00Z</dcterms:created>
  <dcterms:modified xsi:type="dcterms:W3CDTF">2025-08-04T13:47:00Z</dcterms:modified>
</cp:coreProperties>
</file>